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337185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2513965</wp:posOffset>
            </wp:positionH>
            <wp:positionV relativeFrom="paragraph">
              <wp:posOffset>90170</wp:posOffset>
            </wp:positionV>
            <wp:extent cx="21151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15185" cy="8255"/>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2513965</wp:posOffset>
            </wp:positionH>
            <wp:positionV relativeFrom="paragraph">
              <wp:posOffset>-125095</wp:posOffset>
            </wp:positionV>
            <wp:extent cx="21151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15185" cy="8255"/>
                    </a:xfrm>
                    <a:prstGeom prst="rect">
                      <a:avLst/>
                    </a:prstGeom>
                    <a:noFill/>
                  </pic:spPr>
                </pic:pic>
              </a:graphicData>
            </a:graphic>
          </wp:anchor>
        </w:drawing>
      </w:r>
    </w:p>
    <w:p>
      <w:pPr>
        <w:spacing w:after="0" w:line="43"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4200" w:right="1720" w:hanging="4192"/>
        <w:spacing w:after="0" w:line="364" w:lineRule="auto"/>
        <w:tabs>
          <w:tab w:leader="none" w:pos="369"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001-16503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2513965</wp:posOffset>
            </wp:positionH>
            <wp:positionV relativeFrom="paragraph">
              <wp:posOffset>-41275</wp:posOffset>
            </wp:positionV>
            <wp:extent cx="21151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15185" cy="8255"/>
                    </a:xfrm>
                    <a:prstGeom prst="rect">
                      <a:avLst/>
                    </a:prstGeom>
                    <a:noFill/>
                  </pic:spPr>
                </pic:pic>
              </a:graphicData>
            </a:graphic>
          </wp:anchor>
        </w:drawing>
        <w:drawing>
          <wp:anchor simplePos="0" relativeHeight="251657728" behindDoc="1" locked="0" layoutInCell="0" allowOverlap="1">
            <wp:simplePos x="0" y="0"/>
            <wp:positionH relativeFrom="column">
              <wp:posOffset>2959100</wp:posOffset>
            </wp:positionH>
            <wp:positionV relativeFrom="paragraph">
              <wp:posOffset>34925</wp:posOffset>
            </wp:positionV>
            <wp:extent cx="1198880" cy="3854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98880" cy="3854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WILLIS TOWERS WATSON PUBLIC LIMITED COMPANY</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2513965</wp:posOffset>
            </wp:positionH>
            <wp:positionV relativeFrom="paragraph">
              <wp:posOffset>94615</wp:posOffset>
            </wp:positionV>
            <wp:extent cx="2115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15185" cy="8255"/>
                    </a:xfrm>
                    <a:prstGeom prst="rect">
                      <a:avLst/>
                    </a:prstGeom>
                    <a:noFill/>
                  </pic:spPr>
                </pic:pic>
              </a:graphicData>
            </a:graphic>
          </wp:anchor>
        </w:drawing>
      </w:r>
    </w:p>
    <w:p>
      <w:pPr>
        <w:spacing w:after="0" w:line="188" w:lineRule="exact"/>
        <w:rPr>
          <w:sz w:val="24"/>
          <w:szCs w:val="24"/>
          <w:color w:val="auto"/>
        </w:rPr>
      </w:pPr>
    </w:p>
    <w:tbl>
      <w:tblPr>
        <w:tblLayout w:type="fixed"/>
        <w:tblInd w:w="1180" w:type="dxa"/>
        <w:tblCellMar>
          <w:top w:w="0" w:type="dxa"/>
          <w:left w:w="0" w:type="dxa"/>
          <w:bottom w:w="0" w:type="dxa"/>
          <w:right w:w="0" w:type="dxa"/>
        </w:tblCellMar>
      </w:tblPr>
      <w:tr>
        <w:trPr>
          <w:trHeight w:val="238"/>
        </w:trPr>
        <w:tc>
          <w:tcPr>
            <w:tcW w:w="4480" w:type="dxa"/>
            <w:vAlign w:val="bottom"/>
          </w:tcPr>
          <w:p>
            <w:pPr>
              <w:jc w:val="center"/>
              <w:ind w:right="1243"/>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4360" w:type="dxa"/>
            <w:vAlign w:val="bottom"/>
          </w:tcPr>
          <w:p>
            <w:pPr>
              <w:jc w:val="right"/>
              <w:ind w:right="1021"/>
              <w:spacing w:after="0"/>
              <w:rPr>
                <w:sz w:val="20"/>
                <w:szCs w:val="20"/>
                <w:color w:val="auto"/>
              </w:rPr>
            </w:pPr>
            <w:r>
              <w:rPr>
                <w:rFonts w:ascii="Times New Roman" w:cs="Times New Roman" w:eastAsia="Times New Roman" w:hAnsi="Times New Roman"/>
                <w:sz w:val="18"/>
                <w:szCs w:val="18"/>
                <w:b w:val="1"/>
                <w:bCs w:val="1"/>
                <w:color w:val="auto"/>
              </w:rPr>
              <w:t>98-0352587</w:t>
            </w:r>
          </w:p>
        </w:tc>
        <w:tc>
          <w:tcPr>
            <w:tcW w:w="0" w:type="dxa"/>
            <w:vAlign w:val="bottom"/>
          </w:tcPr>
          <w:p>
            <w:pPr>
              <w:spacing w:after="0"/>
              <w:rPr>
                <w:sz w:val="1"/>
                <w:szCs w:val="1"/>
                <w:color w:val="auto"/>
              </w:rPr>
            </w:pPr>
          </w:p>
        </w:tc>
      </w:tr>
      <w:tr>
        <w:trPr>
          <w:trHeight w:val="204"/>
        </w:trPr>
        <w:tc>
          <w:tcPr>
            <w:tcW w:w="4480" w:type="dxa"/>
            <w:vAlign w:val="bottom"/>
          </w:tcPr>
          <w:p>
            <w:pPr>
              <w:ind w:left="280"/>
              <w:spacing w:after="0"/>
              <w:rPr>
                <w:sz w:val="20"/>
                <w:szCs w:val="20"/>
                <w:color w:val="auto"/>
              </w:rPr>
            </w:pPr>
            <w:r>
              <w:rPr>
                <w:rFonts w:ascii="Times New Roman" w:cs="Times New Roman" w:eastAsia="Times New Roman" w:hAnsi="Times New Roman"/>
                <w:sz w:val="14"/>
                <w:szCs w:val="14"/>
                <w:i w:val="1"/>
                <w:iCs w:val="1"/>
                <w:color w:val="auto"/>
              </w:rPr>
              <w:t>(Jurisdiction of incorporation or organization)</w:t>
            </w:r>
          </w:p>
        </w:tc>
        <w:tc>
          <w:tcPr>
            <w:tcW w:w="4360" w:type="dxa"/>
            <w:vAlign w:val="bottom"/>
          </w:tcPr>
          <w:p>
            <w:pPr>
              <w:ind w:left="1780"/>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tc>
        <w:tc>
          <w:tcPr>
            <w:tcW w:w="0" w:type="dxa"/>
            <w:vAlign w:val="bottom"/>
          </w:tcPr>
          <w:p>
            <w:pPr>
              <w:spacing w:after="0"/>
              <w:rPr>
                <w:sz w:val="1"/>
                <w:szCs w:val="1"/>
                <w:color w:val="auto"/>
              </w:rPr>
            </w:pPr>
          </w:p>
        </w:tc>
      </w:tr>
      <w:tr>
        <w:trPr>
          <w:trHeight w:val="320"/>
        </w:trPr>
        <w:tc>
          <w:tcPr>
            <w:tcW w:w="4480" w:type="dxa"/>
            <w:vAlign w:val="bottom"/>
          </w:tcPr>
          <w:p>
            <w:pPr>
              <w:jc w:val="center"/>
              <w:ind w:right="1243"/>
              <w:spacing w:after="0"/>
              <w:rPr>
                <w:sz w:val="20"/>
                <w:szCs w:val="20"/>
                <w:color w:val="auto"/>
              </w:rPr>
            </w:pPr>
            <w:r>
              <w:rPr>
                <w:rFonts w:ascii="Times New Roman" w:cs="Times New Roman" w:eastAsia="Times New Roman" w:hAnsi="Times New Roman"/>
                <w:sz w:val="16"/>
                <w:szCs w:val="16"/>
                <w:b w:val="1"/>
                <w:bCs w:val="1"/>
                <w:color w:val="auto"/>
              </w:rPr>
              <w:t>c/o Willis Group Limited</w:t>
            </w:r>
          </w:p>
        </w:tc>
        <w:tc>
          <w:tcPr>
            <w:tcW w:w="4360" w:type="dxa"/>
            <w:vAlign w:val="bottom"/>
            <w:vMerge w:val="restart"/>
          </w:tcPr>
          <w:p>
            <w:pPr>
              <w:jc w:val="right"/>
              <w:ind w:right="701"/>
              <w:spacing w:after="0"/>
              <w:rPr>
                <w:sz w:val="20"/>
                <w:szCs w:val="20"/>
                <w:color w:val="auto"/>
              </w:rPr>
            </w:pPr>
            <w:r>
              <w:rPr>
                <w:rFonts w:ascii="Times New Roman" w:cs="Times New Roman" w:eastAsia="Times New Roman" w:hAnsi="Times New Roman"/>
                <w:sz w:val="16"/>
                <w:szCs w:val="16"/>
                <w:b w:val="1"/>
                <w:bCs w:val="1"/>
                <w:color w:val="auto"/>
              </w:rPr>
              <w:t>(011) 44-20-3124-6000</w:t>
            </w:r>
          </w:p>
        </w:tc>
        <w:tc>
          <w:tcPr>
            <w:tcW w:w="0" w:type="dxa"/>
            <w:vAlign w:val="bottom"/>
          </w:tcPr>
          <w:p>
            <w:pPr>
              <w:spacing w:after="0"/>
              <w:rPr>
                <w:sz w:val="1"/>
                <w:szCs w:val="1"/>
                <w:color w:val="auto"/>
              </w:rPr>
            </w:pPr>
          </w:p>
        </w:tc>
      </w:tr>
      <w:tr>
        <w:trPr>
          <w:trHeight w:val="180"/>
        </w:trPr>
        <w:tc>
          <w:tcPr>
            <w:tcW w:w="4480" w:type="dxa"/>
            <w:vAlign w:val="bottom"/>
          </w:tcPr>
          <w:p>
            <w:pPr>
              <w:jc w:val="center"/>
              <w:ind w:right="1243"/>
              <w:spacing w:after="0" w:line="180" w:lineRule="exact"/>
              <w:rPr>
                <w:sz w:val="20"/>
                <w:szCs w:val="20"/>
                <w:color w:val="auto"/>
              </w:rPr>
            </w:pPr>
            <w:r>
              <w:rPr>
                <w:rFonts w:ascii="Times New Roman" w:cs="Times New Roman" w:eastAsia="Times New Roman" w:hAnsi="Times New Roman"/>
                <w:sz w:val="16"/>
                <w:szCs w:val="16"/>
                <w:b w:val="1"/>
                <w:bCs w:val="1"/>
                <w:color w:val="auto"/>
              </w:rPr>
              <w:t>51 Lime Street, London EC3M 7DQ, England</w:t>
            </w:r>
          </w:p>
        </w:tc>
        <w:tc>
          <w:tcPr>
            <w:tcW w:w="4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480" w:type="dxa"/>
            <w:vAlign w:val="bottom"/>
          </w:tcPr>
          <w:p>
            <w:pPr>
              <w:jc w:val="center"/>
              <w:ind w:right="1243"/>
              <w:spacing w:after="0"/>
              <w:rPr>
                <w:sz w:val="20"/>
                <w:szCs w:val="20"/>
                <w:color w:val="auto"/>
              </w:rPr>
            </w:pPr>
            <w:r>
              <w:rPr>
                <w:rFonts w:ascii="Times New Roman" w:cs="Times New Roman" w:eastAsia="Times New Roman" w:hAnsi="Times New Roman"/>
                <w:sz w:val="13"/>
                <w:szCs w:val="13"/>
                <w:i w:val="1"/>
                <w:iCs w:val="1"/>
                <w:color w:val="auto"/>
                <w:w w:val="96"/>
              </w:rPr>
              <w:t>(Address of principal executive offices)</w:t>
            </w:r>
          </w:p>
        </w:tc>
        <w:tc>
          <w:tcPr>
            <w:tcW w:w="4360" w:type="dxa"/>
            <w:vAlign w:val="bottom"/>
          </w:tcPr>
          <w:p>
            <w:pPr>
              <w:ind w:left="1300"/>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tc>
        <w:tc>
          <w:tcPr>
            <w:tcW w:w="0" w:type="dxa"/>
            <w:vAlign w:val="bottom"/>
          </w:tcPr>
          <w:p>
            <w:pPr>
              <w:spacing w:after="0"/>
              <w:rPr>
                <w:sz w:val="1"/>
                <w:szCs w:val="1"/>
                <w:color w:val="auto"/>
              </w:rPr>
            </w:pPr>
          </w:p>
        </w:tc>
      </w:tr>
    </w:tbl>
    <w:p>
      <w:pPr>
        <w:spacing w:after="0" w:line="82"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80" w:type="dxa"/>
            <w:vAlign w:val="bottom"/>
            <w:gridSpan w:val="3"/>
          </w:tcPr>
          <w:p>
            <w:pPr>
              <w:jc w:val="center"/>
              <w:ind w:right="12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860" w:type="dxa"/>
            <w:vAlign w:val="bottom"/>
            <w:vMerge w:val="restart"/>
          </w:tcPr>
          <w:p>
            <w:pPr>
              <w:jc w:val="center"/>
              <w:ind w:right="110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360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Ordinary Shares, nominal value $0.000304635 per share</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80" w:type="dxa"/>
            <w:vAlign w:val="bottom"/>
            <w:gridSpan w:val="3"/>
            <w:vMerge w:val="restart"/>
          </w:tcPr>
          <w:p>
            <w:pPr>
              <w:jc w:val="center"/>
              <w:ind w:right="1280"/>
              <w:spacing w:after="0"/>
              <w:rPr>
                <w:sz w:val="20"/>
                <w:szCs w:val="20"/>
                <w:color w:val="auto"/>
              </w:rPr>
            </w:pPr>
            <w:r>
              <w:rPr>
                <w:rFonts w:ascii="Times New Roman" w:cs="Times New Roman" w:eastAsia="Times New Roman" w:hAnsi="Times New Roman"/>
                <w:sz w:val="14"/>
                <w:szCs w:val="14"/>
                <w:b w:val="1"/>
                <w:bCs w:val="1"/>
                <w:color w:val="auto"/>
              </w:rPr>
              <w:t>WTW</w:t>
            </w:r>
          </w:p>
        </w:tc>
        <w:tc>
          <w:tcPr>
            <w:tcW w:w="3860" w:type="dxa"/>
            <w:vAlign w:val="bottom"/>
            <w:vMerge w:val="restart"/>
          </w:tcPr>
          <w:p>
            <w:pPr>
              <w:jc w:val="center"/>
              <w:ind w:right="1108"/>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c>
          <w:tcPr>
            <w:tcW w:w="0" w:type="dxa"/>
            <w:vAlign w:val="bottom"/>
          </w:tcPr>
          <w:p>
            <w:pPr>
              <w:spacing w:after="0"/>
              <w:rPr>
                <w:sz w:val="1"/>
                <w:szCs w:val="1"/>
                <w:color w:val="auto"/>
              </w:rPr>
            </w:pPr>
          </w:p>
        </w:tc>
      </w:tr>
      <w:tr>
        <w:trPr>
          <w:trHeight w:val="43"/>
        </w:trPr>
        <w:tc>
          <w:tcPr>
            <w:tcW w:w="3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80" w:type="dxa"/>
            <w:vAlign w:val="bottom"/>
            <w:gridSpan w:val="3"/>
            <w:vMerge w:val="continue"/>
          </w:tcPr>
          <w:p>
            <w:pPr>
              <w:spacing w:after="0"/>
              <w:rPr>
                <w:sz w:val="3"/>
                <w:szCs w:val="3"/>
                <w:color w:val="auto"/>
              </w:rPr>
            </w:pPr>
          </w:p>
        </w:tc>
        <w:tc>
          <w:tcPr>
            <w:tcW w:w="3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600" w:type="dxa"/>
            <w:vAlign w:val="bottom"/>
          </w:tcPr>
          <w:p>
            <w:pPr>
              <w:spacing w:after="0"/>
              <w:rPr>
                <w:sz w:val="24"/>
                <w:szCs w:val="24"/>
                <w:color w:val="auto"/>
              </w:rPr>
            </w:pPr>
          </w:p>
        </w:tc>
        <w:tc>
          <w:tcPr>
            <w:tcW w:w="764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0" w:type="dxa"/>
            <w:vAlign w:val="bottom"/>
          </w:tcPr>
          <w:p>
            <w:pPr>
              <w:spacing w:after="0"/>
              <w:rPr>
                <w:sz w:val="1"/>
                <w:szCs w:val="1"/>
                <w:color w:val="auto"/>
              </w:rPr>
            </w:pPr>
          </w:p>
        </w:tc>
      </w:tr>
      <w:tr>
        <w:trPr>
          <w:trHeight w:val="209"/>
        </w:trPr>
        <w:tc>
          <w:tcPr>
            <w:tcW w:w="7380" w:type="dxa"/>
            <w:vAlign w:val="bottom"/>
            <w:gridSpan w:val="6"/>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tc>
        <w:tc>
          <w:tcPr>
            <w:tcW w:w="3860" w:type="dxa"/>
            <w:vAlign w:val="bottom"/>
          </w:tcPr>
          <w:p>
            <w:pPr>
              <w:ind w:left="8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25"/>
        </w:trPr>
        <w:tc>
          <w:tcPr>
            <w:tcW w:w="7380" w:type="dxa"/>
            <w:vAlign w:val="bottom"/>
            <w:gridSpan w:val="6"/>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p>
        </w:tc>
        <w:tc>
          <w:tcPr>
            <w:tcW w:w="3860" w:type="dxa"/>
            <w:vAlign w:val="bottom"/>
          </w:tcPr>
          <w:p>
            <w:pPr>
              <w:ind w:left="20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27" w:lineRule="exact"/>
        <w:rPr>
          <w:sz w:val="24"/>
          <w:szCs w:val="24"/>
          <w:color w:val="auto"/>
        </w:rPr>
      </w:pPr>
    </w:p>
    <w:p>
      <w:pPr>
        <w:ind w:right="18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7" w:lineRule="exact"/>
        <w:rPr>
          <w:sz w:val="24"/>
          <w:szCs w:val="24"/>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240"/>
          </w:cols>
          <w:pgMar w:left="320" w:top="546" w:right="339" w:bottom="1440" w:gutter="0" w:footer="0" w:header="0"/>
        </w:sectPr>
      </w:pPr>
    </w:p>
    <w:p>
      <w:pPr>
        <w:spacing w:after="0" w:line="95"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2" w:lineRule="exact"/>
        <w:rPr>
          <w:sz w:val="24"/>
          <w:szCs w:val="24"/>
          <w:color w:val="auto"/>
        </w:rPr>
      </w:pPr>
    </w:p>
    <w:p>
      <w:pPr>
        <w:sectPr>
          <w:pgSz w:w="11900" w:h="16838" w:orient="portrait"/>
          <w:cols w:equalWidth="0" w:num="8">
            <w:col w:w="2220" w:space="60"/>
            <w:col w:w="900" w:space="720"/>
            <w:col w:w="900" w:space="80"/>
            <w:col w:w="500" w:space="720"/>
            <w:col w:w="1140" w:space="80"/>
            <w:col w:w="780" w:space="720"/>
            <w:col w:w="1460" w:space="80"/>
            <w:col w:w="880"/>
          </w:cols>
          <w:pgMar w:left="320" w:top="546" w:right="339" w:bottom="1440" w:gutter="0" w:footer="0" w:header="0"/>
          <w:type w:val="continuous"/>
        </w:sectPr>
      </w:pPr>
    </w:p>
    <w:p>
      <w:pPr>
        <w:spacing w:after="0" w:line="23"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35" w:lineRule="exact"/>
        <w:rPr>
          <w:sz w:val="24"/>
          <w:szCs w:val="24"/>
          <w:color w:val="auto"/>
        </w:rPr>
      </w:pPr>
    </w:p>
    <w:p>
      <w:pPr>
        <w:sectPr>
          <w:pgSz w:w="11900" w:h="16838" w:orient="portrait"/>
          <w:cols w:equalWidth="0" w:num="2">
            <w:col w:w="2320" w:space="160"/>
            <w:col w:w="8760"/>
          </w:cols>
          <w:pgMar w:left="320" w:top="546" w:right="339" w:bottom="1440" w:gutter="0" w:footer="0" w:header="0"/>
          <w:type w:val="continuous"/>
        </w:sect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4" w:lineRule="exact"/>
        <w:rPr>
          <w:sz w:val="24"/>
          <w:szCs w:val="24"/>
          <w:color w:val="auto"/>
        </w:rPr>
      </w:pPr>
    </w:p>
    <w:p>
      <w:pPr>
        <w:ind w:right="60"/>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ind w:right="140"/>
        <w:spacing w:after="0" w:line="16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ind w:right="300"/>
        <w:spacing w:after="0" w:line="16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61" w:lineRule="exact"/>
        <w:tabs>
          <w:tab w:leader="none" w:pos="662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pacing w:after="0" w:line="71" w:lineRule="exact"/>
        <w:rPr>
          <w:sz w:val="24"/>
          <w:szCs w:val="24"/>
          <w:color w:val="auto"/>
        </w:rPr>
      </w:pPr>
    </w:p>
    <w:p>
      <w:pPr>
        <w:ind w:right="200"/>
        <w:spacing w:after="0" w:line="258" w:lineRule="auto"/>
        <w:rPr>
          <w:sz w:val="20"/>
          <w:szCs w:val="20"/>
          <w:color w:val="auto"/>
        </w:rPr>
      </w:pPr>
      <w:r>
        <w:rPr>
          <w:rFonts w:ascii="Times New Roman" w:cs="Times New Roman" w:eastAsia="Times New Roman" w:hAnsi="Times New Roman"/>
          <w:sz w:val="14"/>
          <w:szCs w:val="14"/>
          <w:color w:val="auto"/>
        </w:rPr>
        <w:t>The aggregate market value of the voting common equity held by non-affiliates of the Registrant, computed by reference to the last reported price at which the Registrant’s common equity was sold on June 30, 2022 (the last day of the Registrant’s most recently completed second quarter) was $21,628,207,514.</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February 16, 2023, there were outstanding 106,577,635 ordinary shares, nominal value $0.000304635 per share, of the Registrant.</w:t>
      </w:r>
    </w:p>
    <w:p>
      <w:pPr>
        <w:spacing w:after="0" w:line="93"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Portions of Part III will be incorporated by reference in accordance with Instruction G(3) to Form 10-K no later than 120 days after the end of the Company’s fiscal year.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396240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6"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WILLIS TOWERS WATSON PUBLIC LIMITED COMPANY</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INDEX TO FORM 10-K</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 the year ended December 31, 2022</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2"/>
        </w:trPr>
        <w:tc>
          <w:tcPr>
            <w:tcW w:w="20" w:type="dxa"/>
            <w:vAlign w:val="bottom"/>
          </w:tcPr>
          <w:p>
            <w:pPr>
              <w:spacing w:after="0"/>
              <w:rPr>
                <w:sz w:val="15"/>
                <w:szCs w:val="15"/>
                <w:color w:val="auto"/>
              </w:rPr>
            </w:pPr>
          </w:p>
        </w:tc>
        <w:tc>
          <w:tcPr>
            <w:tcW w:w="10620" w:type="dxa"/>
            <w:vAlign w:val="bottom"/>
            <w:gridSpan w:val="33"/>
          </w:tcPr>
          <w:p>
            <w:pPr>
              <w:spacing w:after="0" w:line="182" w:lineRule="exact"/>
              <w:rPr>
                <w:sz w:val="20"/>
                <w:szCs w:val="20"/>
                <w:color w:val="auto"/>
              </w:rPr>
            </w:pPr>
            <w:r>
              <w:rPr>
                <w:rFonts w:ascii="Times New Roman" w:cs="Times New Roman" w:eastAsia="Times New Roman" w:hAnsi="Times New Roman"/>
                <w:sz w:val="18"/>
                <w:szCs w:val="18"/>
                <w:color w:val="0000FF"/>
              </w:rPr>
              <w:t>Certain Definitions</w:t>
            </w:r>
          </w:p>
        </w:tc>
        <w:tc>
          <w:tcPr>
            <w:tcW w:w="6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062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Disclaimer Regarding Forward-looking Statements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71"/>
        </w:trPr>
        <w:tc>
          <w:tcPr>
            <w:tcW w:w="20" w:type="dxa"/>
            <w:vAlign w:val="bottom"/>
          </w:tcPr>
          <w:p>
            <w:pPr>
              <w:spacing w:after="0"/>
              <w:rPr>
                <w:sz w:val="24"/>
                <w:szCs w:val="24"/>
                <w:color w:val="auto"/>
              </w:rPr>
            </w:pPr>
          </w:p>
        </w:tc>
        <w:tc>
          <w:tcPr>
            <w:tcW w:w="6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620" w:type="dxa"/>
            <w:vAlign w:val="bottom"/>
            <w:tcBorders>
              <w:top w:val="single" w:sz="8" w:color="0000FF"/>
            </w:tcBorders>
            <w:gridSpan w:val="5"/>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04"/>
        </w:trPr>
        <w:tc>
          <w:tcPr>
            <w:tcW w:w="2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20" w:type="dxa"/>
            <w:vAlign w:val="bottom"/>
            <w:tcBorders>
              <w:bottom w:val="single" w:sz="8" w:color="0000EE"/>
            </w:tcBorders>
          </w:tcPr>
          <w:p>
            <w:pPr>
              <w:spacing w:after="0"/>
              <w:rPr>
                <w:sz w:val="24"/>
                <w:szCs w:val="24"/>
                <w:color w:val="auto"/>
              </w:rPr>
            </w:pPr>
          </w:p>
        </w:tc>
        <w:tc>
          <w:tcPr>
            <w:tcW w:w="8700" w:type="dxa"/>
            <w:vAlign w:val="bottom"/>
            <w:gridSpan w:val="24"/>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71"/>
        </w:trPr>
        <w:tc>
          <w:tcPr>
            <w:tcW w:w="2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bottom w:val="single" w:sz="8" w:color="0000EE"/>
            </w:tcBorders>
          </w:tcPr>
          <w:p>
            <w:pPr>
              <w:spacing w:after="0"/>
              <w:rPr>
                <w:sz w:val="24"/>
                <w:szCs w:val="24"/>
                <w:color w:val="auto"/>
              </w:rPr>
            </w:pPr>
          </w:p>
        </w:tc>
        <w:tc>
          <w:tcPr>
            <w:tcW w:w="8440" w:type="dxa"/>
            <w:vAlign w:val="bottom"/>
            <w:gridSpan w:val="21"/>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85"/>
        </w:trPr>
        <w:tc>
          <w:tcPr>
            <w:tcW w:w="2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7320" w:type="dxa"/>
            <w:vAlign w:val="bottom"/>
            <w:gridSpan w:val="14"/>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85"/>
        </w:trPr>
        <w:tc>
          <w:tcPr>
            <w:tcW w:w="2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2</w:t>
            </w:r>
          </w:p>
        </w:tc>
        <w:tc>
          <w:tcPr>
            <w:tcW w:w="93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right w:val="single" w:sz="8" w:color="0000EE"/>
            </w:tcBorders>
            <w:gridSpan w:val="4"/>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3</w:t>
            </w:r>
          </w:p>
        </w:tc>
        <w:tc>
          <w:tcPr>
            <w:tcW w:w="93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gridSpan w:val="7"/>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4</w:t>
            </w:r>
          </w:p>
        </w:tc>
        <w:tc>
          <w:tcPr>
            <w:tcW w:w="93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85"/>
        </w:trPr>
        <w:tc>
          <w:tcPr>
            <w:tcW w:w="2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04"/>
        </w:trPr>
        <w:tc>
          <w:tcPr>
            <w:tcW w:w="20" w:type="dxa"/>
            <w:vAlign w:val="bottom"/>
          </w:tcPr>
          <w:p>
            <w:pPr>
              <w:spacing w:after="0"/>
              <w:rPr>
                <w:sz w:val="24"/>
                <w:szCs w:val="24"/>
                <w:color w:val="auto"/>
              </w:rPr>
            </w:pPr>
          </w:p>
        </w:tc>
        <w:tc>
          <w:tcPr>
            <w:tcW w:w="7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560" w:type="dxa"/>
            <w:vAlign w:val="bottom"/>
            <w:gridSpan w:val="4"/>
          </w:tcPr>
          <w:p>
            <w:pPr>
              <w:spacing w:after="0"/>
              <w:rPr>
                <w:sz w:val="24"/>
                <w:szCs w:val="24"/>
                <w:color w:val="auto"/>
              </w:rPr>
            </w:pPr>
          </w:p>
        </w:tc>
        <w:tc>
          <w:tcPr>
            <w:tcW w:w="806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85"/>
        </w:trPr>
        <w:tc>
          <w:tcPr>
            <w:tcW w:w="2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6</w:t>
            </w:r>
          </w:p>
        </w:tc>
        <w:tc>
          <w:tcPr>
            <w:tcW w:w="93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[RESERVED]</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gridSpan w:val="7"/>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7</w:t>
            </w:r>
          </w:p>
        </w:tc>
        <w:tc>
          <w:tcPr>
            <w:tcW w:w="93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85"/>
        </w:trPr>
        <w:tc>
          <w:tcPr>
            <w:tcW w:w="2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7A</w:t>
            </w:r>
          </w:p>
        </w:tc>
        <w:tc>
          <w:tcPr>
            <w:tcW w:w="644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920" w:type="dxa"/>
            <w:vAlign w:val="bottom"/>
            <w:gridSpan w:val="4"/>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85"/>
        </w:trPr>
        <w:tc>
          <w:tcPr>
            <w:tcW w:w="2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8</w:t>
            </w:r>
          </w:p>
        </w:tc>
        <w:tc>
          <w:tcPr>
            <w:tcW w:w="332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20" w:type="dxa"/>
            <w:vAlign w:val="bottom"/>
            <w:tcBorders>
              <w:top w:val="single" w:sz="8" w:color="0000FF"/>
              <w:bottom w:val="single" w:sz="8" w:color="0000EE"/>
            </w:tcBorders>
          </w:tcPr>
          <w:p>
            <w:pPr>
              <w:spacing w:after="0"/>
              <w:rPr>
                <w:sz w:val="24"/>
                <w:szCs w:val="24"/>
                <w:color w:val="auto"/>
              </w:rPr>
            </w:pPr>
          </w:p>
        </w:tc>
        <w:tc>
          <w:tcPr>
            <w:tcW w:w="1000" w:type="dxa"/>
            <w:vAlign w:val="bottom"/>
            <w:tcBorders>
              <w:top w:val="single" w:sz="8" w:color="0000FF"/>
            </w:tcBorders>
            <w:gridSpan w:val="2"/>
          </w:tcPr>
          <w:p>
            <w:pPr>
              <w:spacing w:after="0"/>
              <w:rPr>
                <w:sz w:val="24"/>
                <w:szCs w:val="24"/>
                <w:color w:val="auto"/>
              </w:rPr>
            </w:pPr>
          </w:p>
        </w:tc>
        <w:tc>
          <w:tcPr>
            <w:tcW w:w="5020" w:type="dxa"/>
            <w:vAlign w:val="bottom"/>
            <w:gridSpan w:val="7"/>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85"/>
        </w:trPr>
        <w:tc>
          <w:tcPr>
            <w:tcW w:w="2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9</w:t>
            </w:r>
          </w:p>
        </w:tc>
        <w:tc>
          <w:tcPr>
            <w:tcW w:w="93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385"/>
        </w:trPr>
        <w:tc>
          <w:tcPr>
            <w:tcW w:w="2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9A</w:t>
            </w:r>
          </w:p>
        </w:tc>
        <w:tc>
          <w:tcPr>
            <w:tcW w:w="646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900" w:type="dxa"/>
            <w:vAlign w:val="bottom"/>
            <w:gridSpan w:val="3"/>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385"/>
        </w:trPr>
        <w:tc>
          <w:tcPr>
            <w:tcW w:w="2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600" w:type="dxa"/>
            <w:vAlign w:val="bottom"/>
            <w:gridSpan w:val="17"/>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Borders>
              <w:right w:val="single" w:sz="8" w:color="0000EE"/>
            </w:tcBorders>
            <w:gridSpan w:val="8"/>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9C</w:t>
            </w:r>
          </w:p>
        </w:tc>
        <w:tc>
          <w:tcPr>
            <w:tcW w:w="93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385"/>
        </w:trPr>
        <w:tc>
          <w:tcPr>
            <w:tcW w:w="20" w:type="dxa"/>
            <w:vAlign w:val="bottom"/>
          </w:tcPr>
          <w:p>
            <w:pPr>
              <w:spacing w:after="0"/>
              <w:rPr>
                <w:sz w:val="24"/>
                <w:szCs w:val="24"/>
                <w:color w:val="auto"/>
              </w:rPr>
            </w:pPr>
          </w:p>
        </w:tc>
        <w:tc>
          <w:tcPr>
            <w:tcW w:w="7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48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04"/>
        </w:trPr>
        <w:tc>
          <w:tcPr>
            <w:tcW w:w="2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10</w:t>
            </w:r>
          </w:p>
        </w:tc>
        <w:tc>
          <w:tcPr>
            <w:tcW w:w="93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385"/>
        </w:trPr>
        <w:tc>
          <w:tcPr>
            <w:tcW w:w="2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0" w:type="dxa"/>
            <w:vAlign w:val="bottom"/>
            <w:tcBorders>
              <w:top w:val="single" w:sz="8" w:color="0000FF"/>
              <w:bottom w:val="single" w:sz="8" w:color="0000EE"/>
            </w:tcBorders>
          </w:tcPr>
          <w:p>
            <w:pPr>
              <w:spacing w:after="0"/>
              <w:rPr>
                <w:sz w:val="24"/>
                <w:szCs w:val="24"/>
                <w:color w:val="auto"/>
              </w:rPr>
            </w:pPr>
          </w:p>
        </w:tc>
        <w:tc>
          <w:tcPr>
            <w:tcW w:w="2260" w:type="dxa"/>
            <w:vAlign w:val="bottom"/>
            <w:tcBorders>
              <w:top w:val="single" w:sz="8" w:color="0000FF"/>
            </w:tcBorders>
            <w:gridSpan w:val="7"/>
          </w:tcPr>
          <w:p>
            <w:pPr>
              <w:spacing w:after="0"/>
              <w:rPr>
                <w:sz w:val="24"/>
                <w:szCs w:val="24"/>
                <w:color w:val="auto"/>
              </w:rPr>
            </w:pPr>
          </w:p>
        </w:tc>
        <w:tc>
          <w:tcPr>
            <w:tcW w:w="5280" w:type="dxa"/>
            <w:vAlign w:val="bottom"/>
            <w:gridSpan w:val="8"/>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385"/>
        </w:trPr>
        <w:tc>
          <w:tcPr>
            <w:tcW w:w="2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12</w:t>
            </w:r>
          </w:p>
        </w:tc>
        <w:tc>
          <w:tcPr>
            <w:tcW w:w="728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2080" w:type="dxa"/>
            <w:vAlign w:val="bottom"/>
            <w:gridSpan w:val="2"/>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385"/>
        </w:trPr>
        <w:tc>
          <w:tcPr>
            <w:tcW w:w="2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13</w:t>
            </w:r>
          </w:p>
        </w:tc>
        <w:tc>
          <w:tcPr>
            <w:tcW w:w="544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920" w:type="dxa"/>
            <w:vAlign w:val="bottom"/>
            <w:gridSpan w:val="5"/>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385"/>
        </w:trPr>
        <w:tc>
          <w:tcPr>
            <w:tcW w:w="2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14</w:t>
            </w:r>
          </w:p>
        </w:tc>
        <w:tc>
          <w:tcPr>
            <w:tcW w:w="93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385"/>
        </w:trPr>
        <w:tc>
          <w:tcPr>
            <w:tcW w:w="20" w:type="dxa"/>
            <w:vAlign w:val="bottom"/>
          </w:tcPr>
          <w:p>
            <w:pPr>
              <w:spacing w:after="0"/>
              <w:rPr>
                <w:sz w:val="24"/>
                <w:szCs w:val="24"/>
                <w:color w:val="auto"/>
              </w:rPr>
            </w:pPr>
          </w:p>
        </w:tc>
        <w:tc>
          <w:tcPr>
            <w:tcW w:w="7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2"/>
              </w:rPr>
              <w:t>PART IV.</w:t>
            </w:r>
          </w:p>
        </w:tc>
        <w:tc>
          <w:tcPr>
            <w:tcW w:w="520" w:type="dxa"/>
            <w:vAlign w:val="bottom"/>
            <w:gridSpan w:val="3"/>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04"/>
        </w:trPr>
        <w:tc>
          <w:tcPr>
            <w:tcW w:w="2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15</w:t>
            </w:r>
          </w:p>
        </w:tc>
        <w:tc>
          <w:tcPr>
            <w:tcW w:w="93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385"/>
        </w:trPr>
        <w:tc>
          <w:tcPr>
            <w:tcW w:w="2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16</w:t>
            </w:r>
          </w:p>
        </w:tc>
        <w:tc>
          <w:tcPr>
            <w:tcW w:w="314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6220" w:type="dxa"/>
            <w:vAlign w:val="bottom"/>
            <w:gridSpan w:val="11"/>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385"/>
        </w:trPr>
        <w:tc>
          <w:tcPr>
            <w:tcW w:w="20" w:type="dxa"/>
            <w:vAlign w:val="bottom"/>
          </w:tcPr>
          <w:p>
            <w:pPr>
              <w:spacing w:after="0"/>
              <w:rPr>
                <w:sz w:val="24"/>
                <w:szCs w:val="24"/>
                <w:color w:val="auto"/>
              </w:rPr>
            </w:pPr>
          </w:p>
        </w:tc>
        <w:tc>
          <w:tcPr>
            <w:tcW w:w="12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607"/>
        </w:trPr>
        <w:tc>
          <w:tcPr>
            <w:tcW w:w="2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definitions apply throughout this Annual Report on Form 10-K unless the context requires otherwise: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 ‘Us’, ‘Company’, ‘WTW’, ‘Willis Towers Watson’,</w:t>
            </w:r>
          </w:p>
        </w:tc>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Willis Towers Watson Public Limited Company, a company organized under the laws of</w:t>
            </w:r>
          </w:p>
        </w:tc>
      </w:tr>
      <w:tr>
        <w:trPr>
          <w:trHeight w:val="234"/>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‘Our’, or ‘Willis Towers Watson plc’</w:t>
            </w:r>
          </w:p>
        </w:tc>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Ireland, and its subsidiaries</w:t>
            </w:r>
          </w:p>
        </w:tc>
      </w:tr>
      <w:tr>
        <w:trPr>
          <w:trHeight w:val="373"/>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w:t>
            </w:r>
          </w:p>
        </w:tc>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ordinary shares of Willis Towers Watson Public Limited Company, nominal value</w:t>
            </w:r>
          </w:p>
        </w:tc>
      </w:tr>
      <w:tr>
        <w:trPr>
          <w:trHeight w:val="234"/>
        </w:trPr>
        <w:tc>
          <w:tcPr>
            <w:tcW w:w="4440" w:type="dxa"/>
            <w:vAlign w:val="bottom"/>
          </w:tcPr>
          <w:p>
            <w:pPr>
              <w:spacing w:after="0"/>
              <w:rPr>
                <w:sz w:val="20"/>
                <w:szCs w:val="20"/>
                <w:color w:val="auto"/>
              </w:rPr>
            </w:pPr>
          </w:p>
        </w:tc>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$0.000304635 per share</w:t>
            </w:r>
          </w:p>
        </w:tc>
      </w:tr>
      <w:tr>
        <w:trPr>
          <w:trHeight w:val="373"/>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‘Legacy Willis’ or ‘Willis’</w:t>
            </w:r>
          </w:p>
        </w:tc>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Willis Group Holdings Public Limited Company and its subsidiaries, predecessor to WTW,</w:t>
            </w:r>
          </w:p>
        </w:tc>
      </w:tr>
      <w:tr>
        <w:trPr>
          <w:trHeight w:val="234"/>
        </w:trPr>
        <w:tc>
          <w:tcPr>
            <w:tcW w:w="4440" w:type="dxa"/>
            <w:vAlign w:val="bottom"/>
          </w:tcPr>
          <w:p>
            <w:pPr>
              <w:spacing w:after="0"/>
              <w:rPr>
                <w:sz w:val="20"/>
                <w:szCs w:val="20"/>
                <w:color w:val="auto"/>
              </w:rPr>
            </w:pPr>
          </w:p>
        </w:tc>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prior to the Merger</w:t>
            </w:r>
          </w:p>
        </w:tc>
      </w:tr>
      <w:tr>
        <w:trPr>
          <w:trHeight w:val="391"/>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‘Legacy Towers Watson’ or ‘Towers Watson’</w:t>
            </w:r>
          </w:p>
        </w:tc>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Towers Watson &amp; Co. and its subsidiaries</w:t>
            </w:r>
          </w:p>
        </w:tc>
      </w:tr>
      <w:tr>
        <w:trPr>
          <w:trHeight w:val="588"/>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‘Merger’</w:t>
            </w:r>
          </w:p>
        </w:tc>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Merger of Willis Group Holdings Public Limited Company and Towers Watson &amp; Co.</w:t>
            </w:r>
          </w:p>
        </w:tc>
      </w:tr>
      <w:tr>
        <w:trPr>
          <w:trHeight w:val="216"/>
        </w:trPr>
        <w:tc>
          <w:tcPr>
            <w:tcW w:w="4440" w:type="dxa"/>
            <w:vAlign w:val="bottom"/>
          </w:tcPr>
          <w:p>
            <w:pPr>
              <w:spacing w:after="0"/>
              <w:rPr>
                <w:sz w:val="18"/>
                <w:szCs w:val="18"/>
                <w:color w:val="auto"/>
              </w:rPr>
            </w:pPr>
          </w:p>
        </w:tc>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pursuant to the Agreement and Plan of Merger, dated June 29, 2015, as amended on</w:t>
            </w:r>
          </w:p>
        </w:tc>
      </w:tr>
      <w:tr>
        <w:trPr>
          <w:trHeight w:val="234"/>
        </w:trPr>
        <w:tc>
          <w:tcPr>
            <w:tcW w:w="4440" w:type="dxa"/>
            <w:vAlign w:val="bottom"/>
          </w:tcPr>
          <w:p>
            <w:pPr>
              <w:spacing w:after="0"/>
              <w:rPr>
                <w:sz w:val="20"/>
                <w:szCs w:val="20"/>
                <w:color w:val="auto"/>
              </w:rPr>
            </w:pPr>
          </w:p>
        </w:tc>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November 19, 2015, and completed on January 4, 2016</w:t>
            </w:r>
          </w:p>
        </w:tc>
      </w:tr>
      <w:tr>
        <w:trPr>
          <w:trHeight w:val="391"/>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‘Miller’</w:t>
            </w:r>
          </w:p>
        </w:tc>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Miller Insurance Services LLP and its subsidiaries</w:t>
            </w:r>
          </w:p>
        </w:tc>
      </w:tr>
      <w:tr>
        <w:trPr>
          <w:trHeight w:val="607"/>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‘TRANZACT’</w:t>
            </w:r>
          </w:p>
        </w:tc>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CD&amp;R TZ Holdings, Inc. and its subsidiaries, doing business as TRANZACT</w:t>
            </w:r>
          </w:p>
        </w:tc>
      </w:tr>
      <w:tr>
        <w:trPr>
          <w:trHeight w:val="458"/>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391"/>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‘U.K.’</w:t>
            </w:r>
          </w:p>
        </w:tc>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373"/>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‘Brexit’</w:t>
            </w:r>
          </w:p>
        </w:tc>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United Kingdom’s exit from the European Union, which occurred on January 31,</w:t>
            </w:r>
          </w:p>
        </w:tc>
      </w:tr>
      <w:tr>
        <w:trPr>
          <w:trHeight w:val="234"/>
        </w:trPr>
        <w:tc>
          <w:tcPr>
            <w:tcW w:w="4440" w:type="dxa"/>
            <w:vAlign w:val="bottom"/>
          </w:tcPr>
          <w:p>
            <w:pPr>
              <w:spacing w:after="0"/>
              <w:rPr>
                <w:sz w:val="20"/>
                <w:szCs w:val="20"/>
                <w:color w:val="auto"/>
              </w:rPr>
            </w:pPr>
          </w:p>
        </w:tc>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2020.</w:t>
            </w:r>
          </w:p>
        </w:tc>
      </w:tr>
      <w:tr>
        <w:trPr>
          <w:trHeight w:val="373"/>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‘E.U.’</w:t>
            </w:r>
          </w:p>
        </w:tc>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European Union or European Union 27 (the number of member countries following the</w:t>
            </w:r>
          </w:p>
        </w:tc>
      </w:tr>
      <w:tr>
        <w:trPr>
          <w:trHeight w:val="234"/>
        </w:trPr>
        <w:tc>
          <w:tcPr>
            <w:tcW w:w="4440" w:type="dxa"/>
            <w:vAlign w:val="bottom"/>
          </w:tcPr>
          <w:p>
            <w:pPr>
              <w:spacing w:after="0"/>
              <w:rPr>
                <w:sz w:val="20"/>
                <w:szCs w:val="20"/>
                <w:color w:val="auto"/>
              </w:rPr>
            </w:pPr>
          </w:p>
        </w:tc>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Kingdom’s exit)</w:t>
            </w:r>
          </w:p>
        </w:tc>
      </w:tr>
      <w:tr>
        <w:trPr>
          <w:trHeight w:val="391"/>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GAAP’</w:t>
            </w:r>
          </w:p>
        </w:tc>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 Generally Accepted Accounting Principles</w:t>
            </w:r>
          </w:p>
        </w:tc>
      </w:tr>
      <w:tr>
        <w:trPr>
          <w:trHeight w:val="391"/>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‘FASB’</w:t>
            </w:r>
          </w:p>
        </w:tc>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391"/>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‘ASC’</w:t>
            </w:r>
          </w:p>
        </w:tc>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391"/>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‘ASU’</w:t>
            </w:r>
          </w:p>
        </w:tc>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391"/>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w:t>
            </w:r>
          </w:p>
        </w:tc>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tc>
      </w:tr>
      <w:tr>
        <w:trPr>
          <w:trHeight w:val="391"/>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‘EBITDA’</w:t>
            </w:r>
          </w:p>
        </w:tc>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Earnings before Interest, Taxes, Depreciation and Amortization</w:t>
            </w:r>
          </w:p>
        </w:tc>
      </w:tr>
      <w:tr>
        <w:trPr>
          <w:trHeight w:val="661"/>
        </w:trPr>
        <w:tc>
          <w:tcPr>
            <w:tcW w:w="4440" w:type="dxa"/>
            <w:vAlign w:val="bottom"/>
          </w:tcPr>
          <w:p>
            <w:pPr>
              <w:spacing w:after="0"/>
              <w:rPr>
                <w:sz w:val="24"/>
                <w:szCs w:val="24"/>
                <w:color w:val="auto"/>
              </w:rPr>
            </w:pPr>
          </w:p>
        </w:tc>
        <w:tc>
          <w:tcPr>
            <w:tcW w:w="68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1</w:t>
            </w:r>
          </w:p>
        </w:tc>
      </w:tr>
      <w:tr>
        <w:trPr>
          <w:trHeight w:val="115"/>
        </w:trPr>
        <w:tc>
          <w:tcPr>
            <w:tcW w:w="4440" w:type="dxa"/>
            <w:vAlign w:val="bottom"/>
            <w:tcBorders>
              <w:bottom w:val="single" w:sz="8" w:color="9A9A9A"/>
            </w:tcBorders>
          </w:tcPr>
          <w:p>
            <w:pPr>
              <w:spacing w:after="0"/>
              <w:rPr>
                <w:sz w:val="9"/>
                <w:szCs w:val="9"/>
                <w:color w:val="auto"/>
              </w:rPr>
            </w:pPr>
          </w:p>
        </w:tc>
        <w:tc>
          <w:tcPr>
            <w:tcW w:w="68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Disclaimer Regarding Forward-looking Statements</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have included in this document ‘forward-looking statements’ within the meaning of Section 27A of the Securities Act of 1933, and Section 21E of the Securities Exchange Act of 1934, which are intended to be covered by the safe harbors created by those laws. These forward-looking statements include information about possible or assumed future results of our operations. All statements, other than statements of historical facts, that address activities, events or developments that we expect or anticipate may occur in the future, including such things as: our outlook; the impact of the COVID-19 pandemic on our business; future capital expenditures; ongoing working capital efforts; future share repurchases; financial results (including our revenue, costs or margins) and the impact of changes to tax laws on our financial results, existing and evolving business strategies, and acquisitions and dispositions, including transitional arrangements in effect subsequent to the completed sale of Willis Re to Arthur J. Gallagher &amp; Co. (‘Gallagher’); demand for our services and competitive strengths; strategic goals; the benefits of new initiatives; growth of our business and operations; our ability to successfully manage ongoing leadership, organizational, and technology changes, including investments in improving systems and processes; our ability to implement and realize anticipated benefits of any cost-savings initiatives including the multi-year operational Transformation program; and plans and references to future successes, including our future financial and operating results, short-term and long-term financial goals, plans, objectives, expectations and intentions are all forward-looking statements. Also, when we use words such as ‘may’, ‘will’, ‘would’, ‘anticipate’, ‘believe’, ‘estimate’, ‘expect’, ‘intend’, ‘plan’, ‘probably’, or similar expressions, we are making forward-looking statements. Such statements are based upon the current beliefs and expectations of the Company’s management and are subject to significant risks and uncertainties. Actual results may differ from those set forth in the forward-looking statements. All forward-looking disclosure is speculative by its nature.</w:t>
      </w:r>
    </w:p>
    <w:p>
      <w:pPr>
        <w:spacing w:after="0" w:line="138"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A number of risks and uncertainties that could cause actual results to differ materially from the results reflected in these forward-looking statements are identified under ‘Risk Factors’ in Item 1A of this Annual Report on Form 10-K. These statements are based on assumptions that may not come true and are subject to significant risks and uncertainties.</w:t>
      </w:r>
    </w:p>
    <w:p>
      <w:pPr>
        <w:spacing w:after="0" w:line="123"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Although we believe that the assumptions underlying our forward-looking statements are reasonable, any of these assumptions, and therefore also the forward-looking statements based on these assumptions, could themselves prove to be inaccurate. Given the significant uncertainties inherent in the forward-looking statements included in this Annual Report on Form 10-K, our inclusion of this information is not a representation or guarantee by us that our objectives and plans will be achieved.</w:t>
      </w:r>
    </w:p>
    <w:p>
      <w:pPr>
        <w:spacing w:after="0" w:line="12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Our forward-looking statements speak only as of the date made and we will not update these forward-looking statements unless the securities laws require us to do so. With regard to these risks, uncertainties and assumptions, the forward-looking events discussed in this document may not occur, and we caution you against unduly relying on these forward-looking statements.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75"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WTW is a leading global advisory, broking and solutions company that provides data-driven, insight-led solutions in the areas of people, risk and capital. Utilizing the global view and local expertise of our more than 46,000 colleagues serving more than 140 countries and markets, we help organizations sharpen strategies, enhance resilience, motivate workforces and maximize performance. We design and deliver solutions that manage risk, optimize benefits, cultivate talent and expand the power of capital to protect and strengthen institutions and individuals. Working closely with our clients, we uncover opportunities for sustainable success.</w:t>
      </w:r>
    </w:p>
    <w:p>
      <w:pPr>
        <w:spacing w:after="0" w:line="12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Our clients operate on a global and local scale in a multitude of businesses and industries throughout the world and generally range in size from large, major multinational corporations to middle-market domestic and international companies. Our clients include many of the world’s leading corporations, including approximately 93% of the FTSE 100, 89% of the Fortune 1000, and 90% of the Fortune Global 500 companies. We also advise the majority of the world’s leading insurance companies. We work with major corporations, emerging growth companies, governmental agencies and not-for-profit institutions in a wide variety of industries, with many of our client relationships spanning decades. None of the Company’s customers individually represented more than 10% of its consolidated revenue for each of the years ended December 31, 2022, 2021 and 2020. We place insurance with more than 2,500 insurance carriers, none of which individually accounted for a significant concentration of the total premiums we placed on behalf of our clients in 2022, 2021 or 2020.</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Reorganization</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January 1, 2022, WTW realigned to provide its comprehensive offering of services and solutions to clients across two business segments: Health, Wealth &amp; Career and Risk &amp; Broking. These changes were made in conjunction with changes in the WTW leadership team, including the appointment of a new chief executive officer who succeeded the prior CEO as the chief operating decision maker on that date. Prior to January 1, 2022, we operated across four segments: Human Capital and Benefits; Corporate Risk and Broking; Investment, Risk and Reinsurance; and Benefits Delivery and Administration. Following the realignment, the two new segments consist of the following businesses:</w:t>
      </w:r>
    </w:p>
    <w:p>
      <w:pPr>
        <w:spacing w:after="0" w:line="128" w:lineRule="exact"/>
        <w:rPr>
          <w:sz w:val="20"/>
          <w:szCs w:val="20"/>
          <w:color w:val="auto"/>
        </w:rPr>
      </w:pPr>
    </w:p>
    <w:p>
      <w:pPr>
        <w:ind w:left="760" w:right="80" w:hanging="378"/>
        <w:spacing w:after="0" w:line="312" w:lineRule="auto"/>
        <w:tabs>
          <w:tab w:leader="none" w:pos="7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Health, Wealth &amp; Career segment includes businesses previously aligned under the Human Capital and Benefits segment, the Benefits Delivery and Administration segment, and the Investments business, which was previously under the Investment, Risk and Reinsurance segment.</w:t>
      </w:r>
    </w:p>
    <w:p>
      <w:pPr>
        <w:spacing w:after="0" w:line="85" w:lineRule="exact"/>
        <w:rPr>
          <w:rFonts w:ascii="Times New Roman" w:cs="Times New Roman" w:eastAsia="Times New Roman" w:hAnsi="Times New Roman"/>
          <w:sz w:val="17"/>
          <w:szCs w:val="17"/>
          <w:color w:val="auto"/>
        </w:rPr>
      </w:pPr>
    </w:p>
    <w:p>
      <w:pPr>
        <w:ind w:left="760" w:right="360" w:hanging="378"/>
        <w:spacing w:after="0" w:line="28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&amp; Broking segment includes businesses previously aligned under the Corporate Risk and Broking segment, as well as the Insurance Consulting and Technology business, which was previously under the Investment, Risk and Reinsurance segment.</w:t>
      </w:r>
    </w:p>
    <w:p>
      <w:pPr>
        <w:spacing w:after="0" w:line="109" w:lineRule="exact"/>
        <w:rPr>
          <w:sz w:val="20"/>
          <w:szCs w:val="20"/>
          <w:color w:val="auto"/>
        </w:rPr>
      </w:pPr>
    </w:p>
    <w:p>
      <w:pPr>
        <w:ind w:right="600"/>
        <w:spacing w:after="0" w:line="281" w:lineRule="auto"/>
        <w:rPr>
          <w:sz w:val="20"/>
          <w:szCs w:val="20"/>
          <w:color w:val="auto"/>
        </w:rPr>
      </w:pPr>
      <w:r>
        <w:rPr>
          <w:rFonts w:ascii="Times New Roman" w:cs="Times New Roman" w:eastAsia="Times New Roman" w:hAnsi="Times New Roman"/>
          <w:sz w:val="18"/>
          <w:szCs w:val="18"/>
          <w:color w:val="auto"/>
        </w:rPr>
        <w:t>Below are the percentages of revenue generated by each segment for each of the years ended December 31, 2022, 2021 and 2020. These percentages exclude revenue that has been classified as discontinued operations in our consolidated statements of comprehensive income.</w:t>
      </w:r>
    </w:p>
    <w:p>
      <w:pPr>
        <w:spacing w:after="0" w:line="170"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58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4"/>
                <w:szCs w:val="14"/>
                <w:color w:val="auto"/>
              </w:rPr>
            </w:pPr>
          </w:p>
        </w:tc>
      </w:tr>
      <w:tr>
        <w:trPr>
          <w:trHeight w:val="22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 Wealth &amp; Career</w:t>
            </w:r>
          </w:p>
        </w:tc>
        <w:tc>
          <w:tcPr>
            <w:tcW w:w="102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60 %</w:t>
            </w:r>
          </w:p>
        </w:tc>
        <w:tc>
          <w:tcPr>
            <w:tcW w:w="10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60 %</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38"/>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 &amp; Broking</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40 %</w:t>
            </w:r>
          </w:p>
        </w:tc>
        <w:tc>
          <w:tcPr>
            <w:tcW w:w="100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40 %</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descriptions of our reorganized segments: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Wealth &amp; Career</w:t>
      </w:r>
    </w:p>
    <w:p>
      <w:pPr>
        <w:spacing w:after="0" w:line="175" w:lineRule="exact"/>
        <w:rPr>
          <w:sz w:val="20"/>
          <w:szCs w:val="20"/>
          <w:color w:val="auto"/>
        </w:rPr>
      </w:pPr>
    </w:p>
    <w:p>
      <w:pPr>
        <w:jc w:val="both"/>
        <w:ind w:right="360"/>
        <w:spacing w:after="0" w:line="265" w:lineRule="auto"/>
        <w:rPr>
          <w:sz w:val="20"/>
          <w:szCs w:val="20"/>
          <w:color w:val="auto"/>
        </w:rPr>
      </w:pPr>
      <w:r>
        <w:rPr>
          <w:rFonts w:ascii="Times New Roman" w:cs="Times New Roman" w:eastAsia="Times New Roman" w:hAnsi="Times New Roman"/>
          <w:sz w:val="18"/>
          <w:szCs w:val="18"/>
          <w:color w:val="auto"/>
        </w:rPr>
        <w:t>The Health, Wealth &amp; Career (‘HWC’) segment provides an array of advice, broking, solutions and technology for employee benefit plans, institutional investors, compensation and career programs, and the employee experience overall. Our portfolio of services support the interrelated challenges that the management teams of our clients face across human resources (‘HR’) and finance.</w:t>
      </w:r>
    </w:p>
    <w:p>
      <w:pPr>
        <w:spacing w:after="0" w:line="123" w:lineRule="exact"/>
        <w:rPr>
          <w:sz w:val="20"/>
          <w:szCs w:val="20"/>
          <w:color w:val="auto"/>
        </w:rPr>
      </w:pPr>
    </w:p>
    <w:p>
      <w:pPr>
        <w:ind w:right="560"/>
        <w:spacing w:after="0" w:line="281" w:lineRule="auto"/>
        <w:rPr>
          <w:sz w:val="20"/>
          <w:szCs w:val="20"/>
          <w:color w:val="auto"/>
        </w:rPr>
      </w:pPr>
      <w:r>
        <w:rPr>
          <w:rFonts w:ascii="Times New Roman" w:cs="Times New Roman" w:eastAsia="Times New Roman" w:hAnsi="Times New Roman"/>
          <w:sz w:val="18"/>
          <w:szCs w:val="18"/>
          <w:color w:val="auto"/>
        </w:rPr>
        <w:t>HWC is the larger of the two segments of the Company. Addressing four key areas, Health, Wealth, Career and Benefits Delivery &amp; Outsourcing, the segment is focused on addressing our clients’ people and risk needs to help them succeed in a global marketplace.</w:t>
      </w:r>
    </w:p>
    <w:p>
      <w:pPr>
        <w:spacing w:after="0" w:line="16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55" w:right="2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t>Health</w:t>
      </w:r>
    </w:p>
    <w:p>
      <w:pPr>
        <w:spacing w:after="0" w:line="17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The Health &amp; Benefits (‘H&amp;B’) business provides strategy and design consulting, plan management service and support, broking and administration across the full spectrum of health, wellbeing and other group benefit programs, including medical, dental, disability, life, voluntary benefits and other coverage. Our reach extends from small/mid-market clients to large-market and multinational clients, across the full geographic footprint of the Company, and to most industries. We can address our clients’ needs in more than 140 countries.</w:t>
      </w:r>
    </w:p>
    <w:p>
      <w:pPr>
        <w:spacing w:after="0" w:line="128"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Our consultants help clients make strategic decisions on topics such as optimizing program spend; evaluating emerging vendors, point solutions and coverage options (including publicly-subsidized health insurance exchanges and private exchanges in the U.S.); and dealing with above-inflation-rate increases in healthcare costs. We also assist clients in selecting the appropriate insurance carriers to cover benefit risks and administer the programs. In addition to our consulting and broking services, we manage a number of collective purchasing initiatives, such as pharmacy and stop-loss, that allow employers to realize greater value from third-party service providers than they can achieve on their own.</w:t>
      </w:r>
    </w:p>
    <w:p>
      <w:pPr>
        <w:spacing w:after="0" w:line="128"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With Global Benefits Management, our suite of global services supporting medical, dental and risk (e.g., life, disability) programs, we have a tailored offering for multinationals. This offering includes a flexible set of ready-made solutions, proven technology and an integrated approach to service delivery that translates to a globally consistent, high-quality experience for our clients.</w:t>
      </w:r>
    </w:p>
    <w:p>
      <w:pPr>
        <w:spacing w:after="0" w:line="12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A meaningful portion of revenue in this business is from recurring work, though contracts may be annual or multi-year. Given the balance of revenue across consulting, broking and solutions, our revenue is somewhat weighted to the first quarter.</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8"/>
          <w:szCs w:val="18"/>
          <w:i w:val="1"/>
          <w:iCs w:val="1"/>
          <w:color w:val="auto"/>
        </w:rPr>
        <w:t>ealth</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wealth-related businesses include Retirement and Investments.</w:t>
      </w:r>
    </w:p>
    <w:p>
      <w:pPr>
        <w:spacing w:after="0" w:line="17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Retirement business provides actuarial support, plan design, and administrative services for all forms of pension and retirement savings plans. Our colleagues help our clients assess the costs and risks of retirement plans on cash flow, earnings and the balance sheet, the effects of changing workforce demographics on their retirement plans, and retiree benefit adequacy and security. We offer clients a full range of integrated retirement consulting services and solutions to meet the needs of all types of employers, including those that continue to offer defined benefit plans and those that are reexamining their retirement benefit strategies. We help multinationals coordinate plan design and actuarial services across their complex global plans. We bring in-depth data analysis and perspective to their decision process, because we have tracked the retirement designs and financing strategies of companies around the world over many decades.</w:t>
      </w:r>
    </w:p>
    <w:p>
      <w:pPr>
        <w:spacing w:after="0" w:line="133"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For clients that want to outsource some or all of their pension plan management, we offer broking services, as well as integrated solutions that can combine investment discretionary management, pension administration, core actuarial services, and communication and change management assistance.</w:t>
      </w:r>
    </w:p>
    <w:p>
      <w:pPr>
        <w:spacing w:after="0" w:line="10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Retirement relationships are generally long-term in nature, and client retention rates for this business are high. A significant portion of the revenue in this business is from recurring work, with multi-year contracts that are driven by the heavily regulated nature of pension plans and our clients’ annual needs for these services. Revenue for the Retirement business in some geographies is somewhat seasonal, as much of our work pertains to calendar-year plan administration, financing, reporting and compliance; thus, revenue is typically more weighted to the first and fourth quarters of the fiscal year.</w:t>
      </w:r>
    </w:p>
    <w:p>
      <w:pPr>
        <w:spacing w:after="0" w:line="12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Investments business provides advice and discretionary investment management solutions to defined benefit and defined contribution pension plans as well as to a range of other client types including insurers, endowments and foundations, and private wealth investors. We provide a solution to a significant business problem faced by our clients, namely sustaining the resources and skills required to deliver a financial services product in highly competitive capital markets. We offer a flexible approach that adapts to a wide range of client needs and circumstances, with the objective of higher returns, lower risk and lower costs within each client’s unique situation.</w:t>
      </w:r>
    </w:p>
    <w:p>
      <w:pPr>
        <w:spacing w:after="0" w:line="128"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Our solutions range from single asset class activity, through complete management of entire pension plan assets including sophisticated liability hedging programs.</w:t>
      </w:r>
    </w:p>
    <w:p>
      <w:pPr>
        <w:spacing w:after="0" w:line="109"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We bring together a broad array of specialist investment knowledge and skills across all asset classes, a high-quality execution platform, a cost advantage through our scale, and expert advisors with experience across all client types from the largest plans in the world to small corporate pension plans.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long-term relationships with our Investments clients, with the majority of our revenue driven by retainer contracts.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t>Career</w:t>
      </w:r>
    </w:p>
    <w:p>
      <w:pPr>
        <w:spacing w:after="0" w:line="17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 xml:space="preserve">Our career-related offerings include advice, data, software and products to address clients’ total rewards and talent issues across the globe delivered through our </w:t>
      </w:r>
      <w:r>
        <w:rPr>
          <w:rFonts w:ascii="Times New Roman" w:cs="Times New Roman" w:eastAsia="Times New Roman" w:hAnsi="Times New Roman"/>
          <w:sz w:val="18"/>
          <w:szCs w:val="18"/>
          <w:i w:val="1"/>
          <w:iCs w:val="1"/>
          <w:color w:val="auto"/>
        </w:rPr>
        <w:t>Work &amp; Rewards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Employee Experience</w:t>
      </w:r>
      <w:r>
        <w:rPr>
          <w:rFonts w:ascii="Times New Roman" w:cs="Times New Roman" w:eastAsia="Times New Roman" w:hAnsi="Times New Roman"/>
          <w:sz w:val="18"/>
          <w:szCs w:val="18"/>
          <w:color w:val="auto"/>
        </w:rPr>
        <w:t xml:space="preserve"> businesses.</w:t>
      </w:r>
    </w:p>
    <w:p>
      <w:pPr>
        <w:spacing w:after="0" w:line="10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Within our Work &amp; Rewards business, we help clients determine the best ways to get work done, the skills needed for jobs, and how to reward it. We address executive compensation and broad-based rewards. We advise our clients’ management and boards of directors on all aspects of executive pay programs, including base pay, annual bonuses, long-term incentives, perquisites and other benefits. Our focus is on aligning pay plans with an organization’s business strategy and driving desired performance. Our solutions incorporate proprietary market benchmarking data and software to support compensation administration.</w:t>
      </w:r>
    </w:p>
    <w:p>
      <w:pPr>
        <w:spacing w:after="0" w:line="128"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18"/>
          <w:szCs w:val="18"/>
          <w:color w:val="auto"/>
        </w:rPr>
        <w:t>Our Employee Experience business focuses on the provision of solutions including employee insight and listening tools, talent assessment tools and services, communication and change management services.</w:t>
      </w:r>
    </w:p>
    <w:p>
      <w:pPr>
        <w:spacing w:after="0" w:line="10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Revenue for our career-related businesses is partly seasonal in nature, with heightened activity in the second half of the calendar year during the annual compensation, benefits, and survey cycles. While these businesses enjoy long-term relationships with many clients, work in several practices is often project-based and can be sensitive to economic changes. The businesses benefit from regulatory changes affecting our clients that require strategic advice, program changes and communication, as well as the focus on ESG as a component of executive and board pay, the redefinition of jobs, work location and career paths as technology disaggregates work, and the recalibration of pay and the employee experience amidst shifting labor markets.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Benefits Delivery &amp; Outsourcing</w:t>
      </w:r>
    </w:p>
    <w:p>
      <w:pPr>
        <w:spacing w:after="0" w:line="173"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8"/>
          <w:szCs w:val="18"/>
          <w:color w:val="auto"/>
        </w:rPr>
        <w:t>Our Benefits Delivery &amp; Outsourcing businesses include Benefits Delivery &amp; Administration (‘BDA’) and Technology and Administration Solutions (‘TAS’).</w:t>
      </w:r>
    </w:p>
    <w:p>
      <w:pPr>
        <w:spacing w:after="0" w:line="109"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8"/>
          <w:szCs w:val="18"/>
          <w:color w:val="auto"/>
        </w:rPr>
        <w:t>The BDA business provides primary medical and ancillary benefit exchange and outsourcing services to active employees and retirees across both the group and individual markets, primarily in the U.S.</w:t>
      </w:r>
    </w:p>
    <w:p>
      <w:pPr>
        <w:spacing w:after="0" w:line="109"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A significant portion of the revenue in this business is recurring in nature, driven by either the commissions from the policies we sell, or from long-term service contracts with our clients that typically range from three to five years. Revenue across this business is seasonal and is generally higher in the fourth quarter as it is driven when typical annual enrollment activity occurs.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BDA provides services via two related offerings:</w:t>
      </w:r>
    </w:p>
    <w:p>
      <w:pPr>
        <w:spacing w:after="0" w:line="16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Benefits Outsourcing </w:t>
      </w:r>
      <w:r>
        <w:rPr>
          <w:rFonts w:ascii="Times New Roman" w:cs="Times New Roman" w:eastAsia="Times New Roman" w:hAnsi="Times New Roman"/>
          <w:sz w:val="17"/>
          <w:szCs w:val="17"/>
          <w:color w:val="auto"/>
        </w:rPr>
        <w:t>is focused on serving active employee groups for clients across the U.S. Working closely with other HWC businesses, we use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proprietary technology to provide a suite of health and welfare and pension administration outsourcing services, including tools to enable benefit modeling, decision support, enrollment and benefit choice. Drawing on expertise in H&amp;B and Retirement to create high-performing benefit plan designs, we believe we are well-positioned to help clients of all sizes simplify their benefits delivery, while lowering the total costs of benefits and related administration.</w:t>
      </w:r>
    </w:p>
    <w:p>
      <w:pPr>
        <w:spacing w:after="0" w:line="1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Individual Marketplace </w:t>
      </w:r>
      <w:r>
        <w:rPr>
          <w:rFonts w:ascii="Times New Roman" w:cs="Times New Roman" w:eastAsia="Times New Roman" w:hAnsi="Times New Roman"/>
          <w:sz w:val="18"/>
          <w:szCs w:val="18"/>
          <w:color w:val="auto"/>
        </w:rPr>
        <w:t>offers decision support processes and tools to connect consumers with insurance carriers in private individual and Medicare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Individual Marketplace serves both employer-based and direct-to-consumer populations through its end-to-end consumer acquisition and engagement platforms, which tightly integrate call routing technology, an efficient quoting and enrollment engine, a customer relations management system and deep links with insurance carriers. By leveraging its multiple distribution channels and diverse product portfolio, Individual Marketplace offers solutions to a broad consumer base, helping individuals compare, purchase and use health insurance products, tools and information for life.</w:t>
      </w:r>
    </w:p>
    <w:p>
      <w:pPr>
        <w:spacing w:after="0" w:line="130"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Our TAS business provides pension outsourcing services to hundreds of clients across multiple industries. Our TAS team focuses on clients outside of the U.S. where our services are supported by high quality administration teams using robust technology platforms. Given the nature of the work, our revenue is distributed generally evenly across the year.</w:t>
      </w:r>
    </w:p>
    <w:p>
      <w:pPr>
        <w:spacing w:after="0" w:line="123"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With ongoing servicing requirements and multi-year contracts in place, we have high client retention rates. We are the leading administrator among the 200 largest pension plans in the U.K., as well as a leader in Germany.</w:t>
      </w:r>
    </w:p>
    <w:p>
      <w:pPr>
        <w:spacing w:after="0" w:line="109"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8"/>
          <w:szCs w:val="18"/>
          <w:color w:val="auto"/>
        </w:rPr>
        <w:t>For both our defined benefit and defined contribution administration services, we use highly-automated processes and technology to enable benefit plan members to access and manage their records, perform self-service functions and improve their understanding of their benefits. Our technology also provides trustees and HR teams with timely management information to monitor activity and service levels and reduce administration costs.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4"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Risk &amp; Broking</w:t>
      </w:r>
    </w:p>
    <w:p>
      <w:pPr>
        <w:spacing w:after="0" w:line="175"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The Risk &amp; Broking (‘R&amp;B’) segment provides a broad range of risk advice, insurance brokerage and consulting services to clients worldwide ranging from small businesses to multinational corporations.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segment comprises two primary businesses: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Risk &amp; Broking (‘CRB’)</w:t>
      </w:r>
    </w:p>
    <w:p>
      <w:pPr>
        <w:spacing w:after="0" w:line="171" w:lineRule="exact"/>
        <w:rPr>
          <w:sz w:val="20"/>
          <w:szCs w:val="20"/>
          <w:color w:val="auto"/>
        </w:rPr>
      </w:pPr>
    </w:p>
    <w:p>
      <w:pPr>
        <w:ind w:right="480"/>
        <w:spacing w:after="0" w:line="267"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CRB’ business places more than $25 billion of premiums into the insurance markets on an annual basis, and delivers integrated global solutions tailored to client needs, underpinned by data and analytics through a balanced matrix of global lines of business across all of the Company’s three geographical areas: North America, Europe (including Great Britain) and International.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global lines of business include:</w:t>
      </w:r>
    </w:p>
    <w:p>
      <w:pPr>
        <w:spacing w:after="0" w:line="169" w:lineRule="exact"/>
        <w:rPr>
          <w:sz w:val="20"/>
          <w:szCs w:val="20"/>
          <w:color w:val="auto"/>
        </w:rPr>
      </w:pPr>
    </w:p>
    <w:p>
      <w:pPr>
        <w:jc w:val="both"/>
        <w:ind w:right="6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Property and Casualty </w:t>
      </w:r>
      <w:r>
        <w:rPr>
          <w:rFonts w:ascii="Times New Roman" w:cs="Times New Roman" w:eastAsia="Times New Roman" w:hAnsi="Times New Roman"/>
          <w:sz w:val="18"/>
          <w:szCs w:val="18"/>
          <w:color w:val="auto"/>
        </w:rPr>
        <w:t>— Property and Casualty provides property and liability insurance brokerage services across a wide range of industries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segments including real estate, healthcare and retail. We also arrange insurance products and services for our affinity client partners to offer to their customers, employees, or members alongside, or in addition to, their principal business offerings.</w:t>
      </w:r>
    </w:p>
    <w:p>
      <w:pPr>
        <w:spacing w:after="0" w:line="11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Aerospace </w:t>
      </w:r>
      <w:r>
        <w:rPr>
          <w:rFonts w:ascii="Times New Roman" w:cs="Times New Roman" w:eastAsia="Times New Roman" w:hAnsi="Times New Roman"/>
          <w:sz w:val="18"/>
          <w:szCs w:val="18"/>
          <w:color w:val="auto"/>
        </w:rPr>
        <w:t>— Aerospace provides specialist expertise to the aerospace and space industries. Our aerospace business provides insurance broking,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services, contractual and technical advisory expertise to aerospace clients worldwide, including the world’s leading airlines, aircraft manufacturers, air cargo handlers and other airport and general aviation companies. The specialist InSpace team is also prominent in providing insurance and risk management services to the space industry.</w:t>
      </w:r>
    </w:p>
    <w:p>
      <w:pPr>
        <w:spacing w:after="0" w:line="124" w:lineRule="exact"/>
        <w:rPr>
          <w:sz w:val="20"/>
          <w:szCs w:val="20"/>
          <w:color w:val="auto"/>
        </w:rPr>
      </w:pPr>
    </w:p>
    <w:p>
      <w:pPr>
        <w:ind w:right="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Construction </w:t>
      </w:r>
      <w:r>
        <w:rPr>
          <w:rFonts w:ascii="Times New Roman" w:cs="Times New Roman" w:eastAsia="Times New Roman" w:hAnsi="Times New Roman"/>
          <w:sz w:val="18"/>
          <w:szCs w:val="18"/>
          <w:color w:val="auto"/>
        </w:rPr>
        <w:t>— Our Construction business provides services that include insurance broking, claims, loss control and specialized risk advice for a wide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range of construction projects and activities. Clients include contractors, project owners, public entities, project managers, consultants and financiers, among others.</w:t>
      </w:r>
    </w:p>
    <w:p>
      <w:pPr>
        <w:spacing w:after="0" w:line="11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Global Markets Direct &amp; Facultative </w:t>
      </w:r>
      <w:r>
        <w:rPr>
          <w:rFonts w:ascii="Times New Roman" w:cs="Times New Roman" w:eastAsia="Times New Roman" w:hAnsi="Times New Roman"/>
          <w:sz w:val="18"/>
          <w:szCs w:val="18"/>
          <w:color w:val="auto"/>
        </w:rPr>
        <w:t>— Operating in the major wholesale reinsurance hubs across the world, including London, Bermuda, Singapore,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Hong Kong and Shanghai, solutions are delivered both directly to clients for the most complex property and casualty risks and as facultative reinsurance placements where we serve as an intermediary for insurance companies. Facultative solutions are provided across various classes of risk for our insurer clients, some of which may also be direct clients of WTW. The aim is to deliver optimum results for our clients by getting the right risk to the right market by the right broker, be it local, wholesale or facultative every time.</w:t>
      </w:r>
    </w:p>
    <w:p>
      <w:pPr>
        <w:spacing w:after="0" w:line="12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Financial, Executive and Professional Risks (‘FINEX’) </w:t>
      </w:r>
      <w:r>
        <w:rPr>
          <w:rFonts w:ascii="Times New Roman" w:cs="Times New Roman" w:eastAsia="Times New Roman" w:hAnsi="Times New Roman"/>
          <w:sz w:val="18"/>
          <w:szCs w:val="18"/>
          <w:color w:val="auto"/>
        </w:rPr>
        <w:t>— FINEX encompasses all financial and executive risks, delivering client solutions that range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and professional liability, employment practices liability, crime, cyber and M&amp;A-related insurances to risk consulting and advisory services. Specialist teams provide risk consulting and risk transfer solutions to a broad spectrum of clients across a multitude of industries, as well as the financial and professional service sectors.</w:t>
      </w:r>
    </w:p>
    <w:p>
      <w:pPr>
        <w:spacing w:after="0" w:line="124" w:lineRule="exact"/>
        <w:rPr>
          <w:sz w:val="20"/>
          <w:szCs w:val="20"/>
          <w:color w:val="auto"/>
        </w:rPr>
      </w:pPr>
    </w:p>
    <w:p>
      <w:pPr>
        <w:jc w:val="both"/>
        <w:ind w:righ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Financial Solutions </w:t>
      </w:r>
      <w:r>
        <w:rPr>
          <w:rFonts w:ascii="Times New Roman" w:cs="Times New Roman" w:eastAsia="Times New Roman" w:hAnsi="Times New Roman"/>
          <w:sz w:val="18"/>
          <w:szCs w:val="18"/>
          <w:color w:val="auto"/>
        </w:rPr>
        <w:t>— Financial Solutions provides insurance broking services and specialized risk advice related to credit and political risk and crisis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including terrorism, kidnap and ransom and contingency risk. Clients include international banks, leasing companies, commodity traders, export credit agencies, multinational corporations and sporting institutions.</w:t>
      </w:r>
    </w:p>
    <w:p>
      <w:pPr>
        <w:spacing w:after="0" w:line="118"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Surety </w:t>
      </w:r>
      <w:r>
        <w:rPr>
          <w:rFonts w:ascii="Times New Roman" w:cs="Times New Roman" w:eastAsia="Times New Roman" w:hAnsi="Times New Roman"/>
          <w:sz w:val="18"/>
          <w:szCs w:val="18"/>
          <w:color w:val="auto"/>
        </w:rPr>
        <w:t>— The Global Surety team provides expertise in placing bonds across all industries and around the world. A surety bond is a financial instrument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guarantees contractual performance, statutory compliance, and financial assurance for domestic and international companies.</w:t>
      </w:r>
    </w:p>
    <w:p>
      <w:pPr>
        <w:spacing w:after="0" w:line="1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Marine </w:t>
      </w:r>
      <w:r>
        <w:rPr>
          <w:rFonts w:ascii="Times New Roman" w:cs="Times New Roman" w:eastAsia="Times New Roman" w:hAnsi="Times New Roman"/>
          <w:sz w:val="18"/>
          <w:szCs w:val="18"/>
          <w:color w:val="auto"/>
        </w:rPr>
        <w:t>— Marine provides specialist expertise to the maritime and logistics industries. Our Marine business provides insurance broking services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hull and machinery, cargo, protection and indemnity, fine art and general marine liabilities, among others. Our Marine clients include, but are not limited to, ship owners and operators, shipbuilders, logistics operations, port authorities, traders, shippers, exhibitors and secure transport companies.</w:t>
      </w:r>
    </w:p>
    <w:p>
      <w:pPr>
        <w:spacing w:after="0" w:line="11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Natural Resources </w:t>
      </w:r>
      <w:r>
        <w:rPr>
          <w:rFonts w:ascii="Times New Roman" w:cs="Times New Roman" w:eastAsia="Times New Roman" w:hAnsi="Times New Roman"/>
          <w:sz w:val="18"/>
          <w:szCs w:val="18"/>
          <w:color w:val="auto"/>
        </w:rPr>
        <w:t>— Our Natural Resources practice encompasses the oil, gas and chemicals, mining and metals, power and utilities and renewable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sectors. It provides sector-specific risk transfer solutions and insights, which include insurance broking, risk engineering, contractual reviews, wording analysis and claims management.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Consulting and Technology (‘ICT’)</w:t>
      </w:r>
    </w:p>
    <w:p>
      <w:pPr>
        <w:spacing w:after="0" w:line="173"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ICT is a global business that provides advice and technology solutions to the insurance industry. We leverage our industry experience, strategic perspective and analytical skills to help clients measure and manage risk and capital, improve business performance and</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bookmarkStart w:id="8" w:name="page9"/>
    <w:bookmarkEnd w:id="8"/>
    <w:p>
      <w:pPr>
        <w:ind w:right="440"/>
        <w:spacing w:after="0" w:line="281" w:lineRule="auto"/>
        <w:rPr>
          <w:sz w:val="20"/>
          <w:szCs w:val="20"/>
          <w:color w:val="auto"/>
        </w:rPr>
      </w:pPr>
      <w:r>
        <w:rPr>
          <w:rFonts w:ascii="Times New Roman" w:cs="Times New Roman" w:eastAsia="Times New Roman" w:hAnsi="Times New Roman"/>
          <w:sz w:val="18"/>
          <w:szCs w:val="18"/>
          <w:color w:val="auto"/>
        </w:rPr>
        <w:t>create a sustainable competitive advantage. Our services include software and technology, risk and capital management, products and product pricing, financial and regulatory reporting, financial and capital modeling, M&amp;A, outsourcing and business management.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The Company files annual, quarterly and current reports, proxy statements and other information with the SEC. The SEC maintains a website that contains annual, quarterly and current reports, proxy statements and other information that issuers (including WTW) file electronically with the SEC. The SEC’s website is www.sec.gov.</w:t>
      </w:r>
    </w:p>
    <w:p>
      <w:pPr>
        <w:spacing w:after="0" w:line="12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makes available, free of charge through our website, www.wtwco.com, our Annual Report on Form 10-K, our quarterly reports on Form 10-Q, our proxy statement, current reports on Form 8-K and Forms 3, 4, and 5 filed on behalf of directors and executive officers, as well as any amendments to those reports filed or furnished pursuant to the Securities Exchange Act of 1934 (the ‘Exchange Act’) as soon as reasonably practicable after such material is electronically filed with, or furnished to, the SEC. Unless specifically incorporated by reference, information on our website is not a part of this Form 10-K.</w:t>
      </w:r>
    </w:p>
    <w:p>
      <w:pPr>
        <w:spacing w:after="0" w:line="12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Company’s Memorandum and Articles of Association, Corporate Governance Guidelines, Audit and Risk Committee Charter, Operational Transformation Committee Charter, Human Capital and Compensation Committee Charter, and Corporate Governance and Nominating Committee Charter are available on our website, www.wtwco.com, in the Investor Relations section, or upon request. Requests for copies of these documents should be directed in writing to the Company Secretary c/o Office of General Counsel, Willis Towers Watson Public Limited Company, Brookfield Place, 200 Liberty Street, New York, NY 10281.</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WTW offers its clients a broad range of services and solutions to help them to identify and control their risks, and to enhance business performance by improving their ability to attract, retain and engage a talented workforce. Our risk control services range from strategic risk consulting (including providing actuarial analysis) to a variety of due diligence services, to the provision of practical on-site risk control services (such as health and safety or property loss control consulting), as well as analytical and advisory services (such as hazard modeling and climate risk quantification). We assist clients in planning how to manage incidents or crises when they occur. These services include contingency planning, security audits and product tampering plans. We help our clients enhance their business performance by delivering consulting services, technology and solutions that help them anticipate, identify and capitalize on emerging opportunities in human capital management, as well as offer investment advice to help them develop disciplined and efficient strategies to meet their investment goals.</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an insurance broker, we act as an intermediary between our clients and insurance carriers by advising our clients on their risk management requirements, helping them to determine the best means of managing risk and negotiating and placing insurance with insurance carriers through our global distribution network. We operate a private Medicare exchange in the U.S. Through this exchange and those for active employees, we help our clients move to a more sustainable economic model by capping and controlling the costs associated with healthcare benefits. We are not an insurance company, and therefore we do not underwrite insurable risks for our own account.</w:t>
      </w:r>
    </w:p>
    <w:p>
      <w:pPr>
        <w:spacing w:after="0" w:line="12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derive the majority of our revenue from either commissions or fees for brokerage or consulting services. We do not determine the insurance premiums on which our commissions are generally based. Commission levels generally follow the same trend as premium levels as they are derived from a percentage of the premiums paid by the insureds. Fluctuations in these premiums charged by the insurance carriers can therefore have a direct and potentially material impact on our results of operations. Our fees for consulting services are spread across a variety of complementary businesses that generally remain steady during times of uncertainty. We have some businesses, such as our health and benefits and administration businesses, which can be counter cyclical during the early period of a significant economic change.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 of the Economic Environment</w:t>
      </w:r>
    </w:p>
    <w:p>
      <w:pPr>
        <w:spacing w:after="0" w:line="175"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Beginning with the COVID-19 pandemic there have been adverse changes in global commercial activity, particularly in the global supply chain and workforce availability, and significant volatility in the global financial markets including, among other effects, occasional declines in the equity markets, changes in interest rates and reduced liquidity on a global basis.</w:t>
      </w:r>
    </w:p>
    <w:p>
      <w:pPr>
        <w:spacing w:after="0" w:line="123"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Supply and labor market disruptions caused by COVID-19, accommodative monetary and fiscal policy and the Russian invasion of Ukraine have contributed to significant inflation in many of the markets in which we operate. This impacts not only the costs to attract and retain employees but also other costs to run and invest in our business. If our costs grow significantly in excess of our ability to raise revenue, our margins and results of operations may be materially and adversely impacted</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color w:val="auto"/>
        </w:rPr>
        <w:t xml:space="preserve"> and we may not be able to achieve our strategic and financial objectives.</w:t>
      </w:r>
    </w:p>
    <w:p>
      <w:pPr>
        <w:spacing w:after="0" w:line="128"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Although we believe we have adapted to the unique challenges posed by COVID-19 surrounding how and where we do our work, we are also impacted by the negative effect on workforce availability, which could hamper our ability to grow our capacity on pace with</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9" w:name="page10"/>
    <w:bookmarkEnd w:id="9"/>
    <w:p>
      <w:pPr>
        <w:spacing w:after="0" w:line="260" w:lineRule="auto"/>
        <w:rPr>
          <w:sz w:val="20"/>
          <w:szCs w:val="20"/>
          <w:color w:val="auto"/>
        </w:rPr>
      </w:pPr>
      <w:r>
        <w:rPr>
          <w:rFonts w:ascii="Times New Roman" w:cs="Times New Roman" w:eastAsia="Times New Roman" w:hAnsi="Times New Roman"/>
          <w:sz w:val="18"/>
          <w:szCs w:val="18"/>
          <w:color w:val="auto"/>
        </w:rPr>
        <w:t>increasing demand for our services. We expect the market for talent to remain highly competitive for at least the next several months. We will continue to monitor the situation and assess any implications to our business and our stakeholders. Additional information about COVID-19 related risks is discussed in Part I, Item 1A Risk Factors – ‘We have been impacted by the COVID-19 pandemic and may be substantially and negatively impacted by COVID-19 or other pandemics in the future’.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75"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As discussed under Item 1, ‘Business – The Company’, we seek to be an advisory, broking and solutions provider of choice through an integrated global platform.</w:t>
      </w:r>
    </w:p>
    <w:p>
      <w:pPr>
        <w:spacing w:after="0" w:line="109"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WTW is in the business of people, risk and capital. We believe that a unified approach to these areas can be a path to growth for organizations around the world. We harness our collective power as ‘One WTW’ to make smart connections to serve and support our clients.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in attractive markets – both growing and mature – with a diversified platform across geographies, industries, segments and lines of business.</w:t>
      </w:r>
    </w:p>
    <w:p>
      <w:pPr>
        <w:spacing w:after="0" w:line="171" w:lineRule="exact"/>
        <w:rPr>
          <w:sz w:val="20"/>
          <w:szCs w:val="20"/>
          <w:color w:val="auto"/>
        </w:rPr>
      </w:pPr>
    </w:p>
    <w:p>
      <w:pPr>
        <w:ind w:right="740"/>
        <w:spacing w:after="0" w:line="281" w:lineRule="auto"/>
        <w:rPr>
          <w:sz w:val="20"/>
          <w:szCs w:val="20"/>
          <w:color w:val="auto"/>
        </w:rPr>
      </w:pPr>
      <w:r>
        <w:rPr>
          <w:rFonts w:ascii="Times New Roman" w:cs="Times New Roman" w:eastAsia="Times New Roman" w:hAnsi="Times New Roman"/>
          <w:sz w:val="18"/>
          <w:szCs w:val="18"/>
          <w:color w:val="auto"/>
        </w:rPr>
        <w:t>Our vision is to be the best advisory, broking and solutions company for the benefit of all our stakeholders – creating a competitive advantage and delivering sustainable, profitable growth.</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we can achieve this through executing on our three strategic priorities – grow, simplify and transform:</w:t>
      </w:r>
    </w:p>
    <w:p>
      <w:pPr>
        <w:spacing w:after="0" w:line="167" w:lineRule="exact"/>
        <w:rPr>
          <w:sz w:val="20"/>
          <w:szCs w:val="20"/>
          <w:color w:val="auto"/>
        </w:rPr>
      </w:pPr>
    </w:p>
    <w:p>
      <w:pPr>
        <w:ind w:left="760" w:right="60" w:hanging="378"/>
        <w:spacing w:after="0" w:line="268"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Grow at or above market in priority areas</w:t>
      </w:r>
      <w:r>
        <w:rPr>
          <w:rFonts w:ascii="Times New Roman" w:cs="Times New Roman" w:eastAsia="Times New Roman" w:hAnsi="Times New Roman"/>
          <w:sz w:val="18"/>
          <w:szCs w:val="18"/>
          <w:color w:val="auto"/>
        </w:rPr>
        <w:t>: Focus on core opportunities with the highest growth and return; innovate and accelerate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offerings through a dynamic, yet disciplined, approach; bring targeted solutions to clients reflecting more connected offerings; and increase scale to fill gaps in capabilities through inorganic expansion.</w:t>
      </w:r>
    </w:p>
    <w:p>
      <w:pPr>
        <w:spacing w:after="0" w:line="115" w:lineRule="exact"/>
        <w:rPr>
          <w:rFonts w:ascii="Times New Roman" w:cs="Times New Roman" w:eastAsia="Times New Roman" w:hAnsi="Times New Roman"/>
          <w:sz w:val="18"/>
          <w:szCs w:val="18"/>
          <w:color w:val="auto"/>
        </w:rPr>
      </w:pPr>
    </w:p>
    <w:p>
      <w:pPr>
        <w:ind w:left="760" w:right="40" w:hanging="378"/>
        <w:spacing w:after="0" w:line="259"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Simplify the business to increase agility and effectiveness</w:t>
      </w:r>
      <w:r>
        <w:rPr>
          <w:rFonts w:ascii="Times New Roman" w:cs="Times New Roman" w:eastAsia="Times New Roman" w:hAnsi="Times New Roman"/>
          <w:sz w:val="18"/>
          <w:szCs w:val="18"/>
          <w:color w:val="auto"/>
        </w:rPr>
        <w:t>: Implement the Company’s streamlined structure of two business segments (Health,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Wealth &amp; Career and Risk &amp; Broking; see ‘Segment Reorganization’ within this Item 1 for further information) and three geographies (Europe, International and North America); develop a globally consistent client management model and enhance operations to improve sales and retention outcomes; manage our portfolio of businesses intentionally to drive optimal value; and increase speed of execution through agile decision-making processes.</w:t>
      </w:r>
    </w:p>
    <w:p>
      <w:pPr>
        <w:spacing w:after="0" w:line="123" w:lineRule="exact"/>
        <w:rPr>
          <w:rFonts w:ascii="Times New Roman" w:cs="Times New Roman" w:eastAsia="Times New Roman" w:hAnsi="Times New Roman"/>
          <w:sz w:val="18"/>
          <w:szCs w:val="18"/>
          <w:color w:val="auto"/>
        </w:rPr>
      </w:pPr>
    </w:p>
    <w:p>
      <w:pPr>
        <w:jc w:val="both"/>
        <w:ind w:left="760" w:right="160" w:hanging="378"/>
        <w:spacing w:after="0" w:line="268"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Transform operations to drive savings while enhancing our client and colleague experiences</w:t>
      </w:r>
      <w:r>
        <w:rPr>
          <w:rFonts w:ascii="Times New Roman" w:cs="Times New Roman" w:eastAsia="Times New Roman" w:hAnsi="Times New Roman"/>
          <w:sz w:val="18"/>
          <w:szCs w:val="18"/>
          <w:color w:val="auto"/>
        </w:rPr>
        <w:t>: Maximize global platforms to be as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possible and as distinct as necessary; right-shore operations to capitalize on our scale; rationalize real estate and build new ways of working; and modernize technology to enhance the digital experience.</w:t>
      </w:r>
    </w:p>
    <w:p>
      <w:pPr>
        <w:spacing w:after="0" w:line="120"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We care as much about how we work as we do about the impact that we make. This means commitment to a shared purpose and values, a framework that guides how we run our business and serve clients.</w:t>
      </w:r>
    </w:p>
    <w:p>
      <w:pPr>
        <w:spacing w:after="0" w:line="109"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Through these strategies we aim to accelerate revenue, margin improvement, cash flow, EBITDA, and earnings growth, and to generate compelling returns for investors, by delivering tangible growth in revenue.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about risks to our strategic plans, see Part I, Item 1A Risk Factors of this Form 10-K.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7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Colleague experience – </w:t>
      </w:r>
      <w:r>
        <w:rPr>
          <w:rFonts w:ascii="Times New Roman" w:cs="Times New Roman" w:eastAsia="Times New Roman" w:hAnsi="Times New Roman"/>
          <w:sz w:val="18"/>
          <w:szCs w:val="18"/>
          <w:color w:val="auto"/>
        </w:rPr>
        <w:t>Our colleague experience is an important differentiating factor for WTW. It is designed to provide colleagues with a strong sense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purpose and belonging where everyone is heard and valued, the opportunity to build great connections with people and leaders, meaningful and interesting work</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and opportunities to grow and thrive with recognition and reward in return. This means we strive to foster an inclusive environment where everyone can be their authentic self, where we encourage curiosity, innovation and a continuous improvement mindset and an environment where we are bold in our thinking and care about the impact we have.</w:t>
      </w:r>
    </w:p>
    <w:p>
      <w:pPr>
        <w:spacing w:after="0" w:line="12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values, vision, purpose, and new Colleague Value Proposition (‘CVP’) - we’re Authentic, Curious and Bold, set the tone for what to expect at WTW. In addition, our ‘grow, simplify and transform’ strategic priorities enhance our focus on how to continually support and improve, as appropriate, our colleague experience. We evaluate rewards offerings, system upgrades and process efficiencies as well as the tradeoffs that may be required. We continually explore how we can work with flexibility in an on-going hybrid model, and fuel innovation, among other things, to attract, engage and retain the most accomplished and aspiring talent.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0" w:name="page11"/>
    <w:bookmarkEnd w:id="10"/>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Headcount – </w:t>
      </w:r>
      <w:r>
        <w:rPr>
          <w:rFonts w:ascii="Times New Roman" w:cs="Times New Roman" w:eastAsia="Times New Roman" w:hAnsi="Times New Roman"/>
          <w:sz w:val="18"/>
          <w:szCs w:val="18"/>
          <w:color w:val="auto"/>
        </w:rPr>
        <w:t>Our success depends on our ability to attract, retain, and motivate the most accomplished and aspiring talent in the industry. The number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employees by segment as of the year ended December 31, 2022 is approximated below:</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320" w:type="dxa"/>
            <w:vAlign w:val="bottom"/>
          </w:tcPr>
          <w:p>
            <w:pPr>
              <w:spacing w:after="0"/>
              <w:rPr>
                <w:sz w:val="16"/>
                <w:szCs w:val="16"/>
                <w:color w:val="auto"/>
              </w:rPr>
            </w:pPr>
          </w:p>
        </w:tc>
        <w:tc>
          <w:tcPr>
            <w:tcW w:w="19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6"/>
        </w:trPr>
        <w:tc>
          <w:tcPr>
            <w:tcW w:w="9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Health, Wealth &amp; Career</w:t>
            </w:r>
          </w:p>
        </w:tc>
        <w:tc>
          <w:tcPr>
            <w:tcW w:w="1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24,000</w:t>
            </w:r>
          </w:p>
        </w:tc>
        <w:tc>
          <w:tcPr>
            <w:tcW w:w="0" w:type="dxa"/>
            <w:vAlign w:val="bottom"/>
          </w:tcPr>
          <w:p>
            <w:pPr>
              <w:spacing w:after="0"/>
              <w:rPr>
                <w:sz w:val="1"/>
                <w:szCs w:val="1"/>
                <w:color w:val="auto"/>
              </w:rPr>
            </w:pPr>
          </w:p>
        </w:tc>
      </w:tr>
      <w:tr>
        <w:trPr>
          <w:trHeight w:val="238"/>
        </w:trPr>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&amp; Broking</w:t>
            </w:r>
          </w:p>
        </w:tc>
        <w:tc>
          <w:tcPr>
            <w:tcW w:w="1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14,000</w:t>
            </w:r>
          </w:p>
        </w:tc>
        <w:tc>
          <w:tcPr>
            <w:tcW w:w="0" w:type="dxa"/>
            <w:vAlign w:val="bottom"/>
          </w:tcPr>
          <w:p>
            <w:pPr>
              <w:spacing w:after="0"/>
              <w:rPr>
                <w:sz w:val="1"/>
                <w:szCs w:val="1"/>
                <w:color w:val="auto"/>
              </w:rPr>
            </w:pPr>
          </w:p>
        </w:tc>
      </w:tr>
      <w:tr>
        <w:trPr>
          <w:trHeight w:val="243"/>
        </w:trPr>
        <w:tc>
          <w:tcPr>
            <w:tcW w:w="9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9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8,600</w:t>
            </w:r>
          </w:p>
        </w:tc>
        <w:tc>
          <w:tcPr>
            <w:tcW w:w="0" w:type="dxa"/>
            <w:vAlign w:val="bottom"/>
          </w:tcPr>
          <w:p>
            <w:pPr>
              <w:spacing w:after="0"/>
              <w:rPr>
                <w:sz w:val="1"/>
                <w:szCs w:val="1"/>
                <w:color w:val="auto"/>
              </w:rPr>
            </w:pPr>
          </w:p>
        </w:tc>
      </w:tr>
      <w:tr>
        <w:trPr>
          <w:trHeight w:val="234"/>
        </w:trPr>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Employees</w:t>
            </w:r>
          </w:p>
        </w:tc>
        <w:tc>
          <w:tcPr>
            <w:tcW w:w="19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46,600</w:t>
            </w:r>
          </w:p>
        </w:tc>
        <w:tc>
          <w:tcPr>
            <w:tcW w:w="0" w:type="dxa"/>
            <w:vAlign w:val="bottom"/>
          </w:tcPr>
          <w:p>
            <w:pPr>
              <w:spacing w:after="0"/>
              <w:rPr>
                <w:sz w:val="1"/>
                <w:szCs w:val="1"/>
                <w:color w:val="auto"/>
              </w:rPr>
            </w:pPr>
          </w:p>
        </w:tc>
      </w:tr>
      <w:tr>
        <w:trPr>
          <w:trHeight w:val="20"/>
        </w:trPr>
        <w:tc>
          <w:tcPr>
            <w:tcW w:w="9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number of employees by geography as of the year ended December 31, 2022 is approximated below:</w:t>
            </w: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9320" w:type="dxa"/>
            <w:vAlign w:val="bottom"/>
            <w:vMerge w:val="continue"/>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320" w:type="dxa"/>
            <w:vAlign w:val="bottom"/>
          </w:tcPr>
          <w:p>
            <w:pPr>
              <w:spacing w:after="0"/>
              <w:rPr>
                <w:sz w:val="24"/>
                <w:szCs w:val="24"/>
                <w:color w:val="auto"/>
              </w:rPr>
            </w:pPr>
          </w:p>
        </w:tc>
        <w:tc>
          <w:tcPr>
            <w:tcW w:w="19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6"/>
        </w:trPr>
        <w:tc>
          <w:tcPr>
            <w:tcW w:w="9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15,900</w:t>
            </w:r>
          </w:p>
        </w:tc>
        <w:tc>
          <w:tcPr>
            <w:tcW w:w="0" w:type="dxa"/>
            <w:vAlign w:val="bottom"/>
          </w:tcPr>
          <w:p>
            <w:pPr>
              <w:spacing w:after="0"/>
              <w:rPr>
                <w:sz w:val="1"/>
                <w:szCs w:val="1"/>
                <w:color w:val="auto"/>
              </w:rPr>
            </w:pPr>
          </w:p>
        </w:tc>
      </w:tr>
      <w:tr>
        <w:trPr>
          <w:trHeight w:val="238"/>
        </w:trPr>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43"/>
        </w:trPr>
        <w:tc>
          <w:tcPr>
            <w:tcW w:w="9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9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15,700</w:t>
            </w:r>
          </w:p>
        </w:tc>
        <w:tc>
          <w:tcPr>
            <w:tcW w:w="0" w:type="dxa"/>
            <w:vAlign w:val="bottom"/>
          </w:tcPr>
          <w:p>
            <w:pPr>
              <w:spacing w:after="0"/>
              <w:rPr>
                <w:sz w:val="1"/>
                <w:szCs w:val="1"/>
                <w:color w:val="auto"/>
              </w:rPr>
            </w:pPr>
          </w:p>
        </w:tc>
      </w:tr>
      <w:tr>
        <w:trPr>
          <w:trHeight w:val="236"/>
        </w:trPr>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Employees</w:t>
            </w:r>
          </w:p>
        </w:tc>
        <w:tc>
          <w:tcPr>
            <w:tcW w:w="19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46,600</w:t>
            </w:r>
          </w:p>
        </w:tc>
        <w:tc>
          <w:tcPr>
            <w:tcW w:w="0" w:type="dxa"/>
            <w:vAlign w:val="bottom"/>
          </w:tcPr>
          <w:p>
            <w:pPr>
              <w:spacing w:after="0"/>
              <w:rPr>
                <w:sz w:val="1"/>
                <w:szCs w:val="1"/>
                <w:color w:val="auto"/>
              </w:rPr>
            </w:pPr>
          </w:p>
        </w:tc>
      </w:tr>
      <w:tr>
        <w:trPr>
          <w:trHeight w:val="20"/>
        </w:trPr>
        <w:tc>
          <w:tcPr>
            <w:tcW w:w="9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Voluntary turnover excluding seasonal employees (rolling 12-month attrition) has stabilized in 2022 (15.2%) compared to 2021 (15.2%). Pre-COVID-19 attrition typically averaged around 12.0% and we have seen voluntary turnover begin to decline in the latter part of 2022.</w:t>
      </w:r>
    </w:p>
    <w:p>
      <w:pPr>
        <w:spacing w:after="0" w:line="10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Hiring – </w:t>
      </w:r>
      <w:r>
        <w:rPr>
          <w:rFonts w:ascii="Times New Roman" w:cs="Times New Roman" w:eastAsia="Times New Roman" w:hAnsi="Times New Roman"/>
          <w:sz w:val="18"/>
          <w:szCs w:val="18"/>
          <w:color w:val="auto"/>
        </w:rPr>
        <w:t>Hiring in 2022 increased significantly as the business stabilized, demand for our services increased and we returned to our historical experience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employer of choice. Hiring and internal movement statistics, summarized below, consistent with prior years excludes seasonal colleagues in TRANZACT and Individual Marketplace as the volumes are material and fluctuate significantly:</w:t>
      </w:r>
    </w:p>
    <w:p>
      <w:pPr>
        <w:spacing w:after="0" w:line="120" w:lineRule="exact"/>
        <w:rPr>
          <w:sz w:val="20"/>
          <w:szCs w:val="20"/>
          <w:color w:val="auto"/>
        </w:rPr>
      </w:pPr>
    </w:p>
    <w:p>
      <w:pPr>
        <w:ind w:left="760" w:right="80" w:hanging="378"/>
        <w:spacing w:after="0" w:line="265"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Hires increased 34% over 2021 to over 9,700. Hiring growth was strong across all segments and geographies. At year-end, there were approximately 2,400 open positions, which is higher than historic rates but reflective of the sharp increase in new positions opened in the second half of the year, partly attributable to transformation hiring.</w:t>
      </w:r>
    </w:p>
    <w:p>
      <w:pPr>
        <w:spacing w:after="0" w:line="123" w:lineRule="exact"/>
        <w:rPr>
          <w:rFonts w:ascii="Times New Roman" w:cs="Times New Roman" w:eastAsia="Times New Roman" w:hAnsi="Times New Roman"/>
          <w:sz w:val="18"/>
          <w:szCs w:val="18"/>
          <w:color w:val="auto"/>
        </w:rPr>
      </w:pPr>
    </w:p>
    <w:p>
      <w:pPr>
        <w:ind w:left="760" w:right="40" w:hanging="378"/>
        <w:spacing w:after="0" w:line="281"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2022, 14.7% of open positions were filled with internal candidates compared to 13.9% in 2021. Promotions (changes in levels) and direct appointments into new roles brought additional opportunities for career growth and advancement.</w:t>
      </w:r>
    </w:p>
    <w:p>
      <w:pPr>
        <w:spacing w:after="0" w:line="10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Rehires represented 11.8% of total hires in 2022 (5% excluding seasonal colleagues).</w:t>
      </w:r>
    </w:p>
    <w:p>
      <w:pPr>
        <w:spacing w:after="0" w:line="16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Inclusion and Diversity (‘I&amp;D’) – </w:t>
      </w:r>
      <w:r>
        <w:rPr>
          <w:rFonts w:ascii="Times New Roman" w:cs="Times New Roman" w:eastAsia="Times New Roman" w:hAnsi="Times New Roman"/>
          <w:sz w:val="18"/>
          <w:szCs w:val="18"/>
          <w:color w:val="auto"/>
        </w:rPr>
        <w:t>We believe that when our individual talents are combined, we unlock our collective potential. We further believe that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better together because each of us is different. WTW aims to ensure that our values and I&amp;D commitments are reflected in every interaction. To support this, we’re focusing on three key areas:</w:t>
      </w:r>
    </w:p>
    <w:p>
      <w:pPr>
        <w:spacing w:after="0" w:line="120"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hire to grow our talent pipeline of colleagues from underrepresented communities.</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promote to increase the overall diversity in business leadership.</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an inclusive culture that respects each other’s differences and celebrates what’s unique about each of us.</w:t>
      </w:r>
    </w:p>
    <w:p>
      <w:pPr>
        <w:spacing w:after="0" w:line="171"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8"/>
          <w:szCs w:val="18"/>
          <w:color w:val="auto"/>
        </w:rPr>
        <w:t>A key underlying theme of these priorities is a sharpened focus on our female talent and our aim to increase overall diversity in leadership levels and throughout our talent pipeline.</w:t>
      </w:r>
    </w:p>
    <w:p>
      <w:pPr>
        <w:spacing w:after="0" w:line="109"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At December 31, 2022, we had the following global female representation, and in the U.S. where we have the most complete data, we had the following ethnic and racial diversity representation: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Colleague Group</w:t>
            </w:r>
          </w:p>
        </w:tc>
        <w:tc>
          <w:tcPr>
            <w:tcW w:w="13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All Colleagues</w:t>
            </w:r>
          </w:p>
        </w:tc>
        <w:tc>
          <w:tcPr>
            <w:tcW w:w="200" w:type="dxa"/>
            <w:vAlign w:val="bottom"/>
          </w:tcPr>
          <w:p>
            <w:pPr>
              <w:spacing w:after="0"/>
              <w:rPr>
                <w:sz w:val="18"/>
                <w:szCs w:val="18"/>
                <w:color w:val="auto"/>
              </w:rPr>
            </w:pPr>
          </w:p>
        </w:tc>
        <w:tc>
          <w:tcPr>
            <w:tcW w:w="16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 xml:space="preserve">Senior Leadership </w:t>
            </w:r>
            <w:r>
              <w:rPr>
                <w:rFonts w:ascii="Times New Roman" w:cs="Times New Roman" w:eastAsia="Times New Roman" w:hAnsi="Times New Roman"/>
                <w:sz w:val="19"/>
                <w:szCs w:val="19"/>
                <w:b w:val="1"/>
                <w:bCs w:val="1"/>
                <w:color w:val="auto"/>
                <w:vertAlign w:val="superscript"/>
              </w:rPr>
              <w:t>(ii)</w:t>
            </w:r>
          </w:p>
        </w:tc>
      </w:tr>
      <w:tr>
        <w:trPr>
          <w:trHeight w:val="236"/>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Female (global)</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00" w:type="dxa"/>
            <w:vAlign w:val="bottom"/>
            <w:shd w:val="clear" w:color="auto" w:fill="CFF0FC"/>
          </w:tcPr>
          <w:p>
            <w:pPr>
              <w:spacing w:after="0"/>
              <w:rPr>
                <w:sz w:val="20"/>
                <w:szCs w:val="20"/>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38"/>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Ethnic and racial diversity (U.S. only)</w:t>
            </w: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7"/>
        </w:trPr>
        <w:tc>
          <w:tcPr>
            <w:tcW w:w="7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Asian</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8"/>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Black</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7"/>
        </w:trPr>
        <w:tc>
          <w:tcPr>
            <w:tcW w:w="7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Hispanic</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7980" w:type="dxa"/>
            <w:vAlign w:val="bottom"/>
          </w:tcPr>
          <w:p>
            <w:pPr>
              <w:ind w:left="120"/>
              <w:spacing w:after="0" w:line="243" w:lineRule="exact"/>
              <w:rPr>
                <w:sz w:val="20"/>
                <w:szCs w:val="20"/>
                <w:color w:val="auto"/>
              </w:rPr>
            </w:pPr>
            <w:r>
              <w:rPr>
                <w:rFonts w:ascii="Times New Roman" w:cs="Times New Roman" w:eastAsia="Times New Roman" w:hAnsi="Times New Roman"/>
                <w:sz w:val="18"/>
                <w:szCs w:val="18"/>
                <w:color w:val="auto"/>
              </w:rPr>
              <w:t xml:space="preserve">Other non-white </w:t>
            </w:r>
            <w:r>
              <w:rPr>
                <w:rFonts w:ascii="Times New Roman" w:cs="Times New Roman" w:eastAsia="Times New Roman" w:hAnsi="Times New Roman"/>
                <w:sz w:val="24"/>
                <w:szCs w:val="24"/>
                <w:color w:val="auto"/>
                <w:vertAlign w:val="superscript"/>
              </w:rPr>
              <w:t>(i)</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72"/>
        </w:trPr>
        <w:tc>
          <w:tcPr>
            <w:tcW w:w="7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00" w:type="dxa"/>
            <w:vAlign w:val="bottom"/>
            <w:tcBorders>
              <w:bottom w:val="single" w:sz="8" w:color="CFF0FC"/>
            </w:tcBorders>
            <w:shd w:val="clear" w:color="auto" w:fill="CFF0FC"/>
          </w:tcPr>
          <w:p>
            <w:pPr>
              <w:spacing w:after="0"/>
              <w:rPr>
                <w:sz w:val="23"/>
                <w:szCs w:val="23"/>
                <w:color w:val="auto"/>
              </w:rPr>
            </w:pP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5947410</wp:posOffset>
            </wp:positionH>
            <wp:positionV relativeFrom="paragraph">
              <wp:posOffset>-24765</wp:posOffset>
            </wp:positionV>
            <wp:extent cx="120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-7620</wp:posOffset>
            </wp:positionV>
            <wp:extent cx="120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9505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00"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Other non-white includes American Indian, Native Hawaiian or other Pacific Islander, and two or more races.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(ii)  Senior leadership represents about 5% of our colleagues and includes those with titles of Managing and Senior Directors.</w:t>
      </w:r>
    </w:p>
    <w:p>
      <w:pPr>
        <w:spacing w:after="0" w:line="20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1" w:name="page12"/>
    <w:bookmarkEnd w:id="11"/>
    <w:p>
      <w:pPr>
        <w:ind w:right="260"/>
        <w:spacing w:after="0" w:line="281" w:lineRule="auto"/>
        <w:rPr>
          <w:sz w:val="20"/>
          <w:szCs w:val="20"/>
          <w:color w:val="auto"/>
        </w:rPr>
      </w:pPr>
      <w:r>
        <w:rPr>
          <w:rFonts w:ascii="Times New Roman" w:cs="Times New Roman" w:eastAsia="Times New Roman" w:hAnsi="Times New Roman"/>
          <w:sz w:val="18"/>
          <w:szCs w:val="18"/>
          <w:color w:val="auto"/>
        </w:rPr>
        <w:t>The current board is 44% female, including the Human Capital and Compensation Committee Chair. Our board also has representation from the LGBT+ and Black communities, and includes members with non-U.S. citizenship, including the Audit and Risk Committee Chair.</w:t>
      </w:r>
    </w:p>
    <w:p>
      <w:pPr>
        <w:spacing w:after="0" w:line="109"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Additionally, effective April 1, 2023, three new independent directors will join the board. Further, two current directors will not be standing for re-election at the Company’s 2023 Annual General Meeting. Assuming all of the Company’s nominees are elected and have joined the board, the board’s composition as of the conclusion of the 2023 Annual General Meeting will then be 40% female and will continue to include representation from the LGBT+ and Black communities as well as directors with non-U.S. citizenship.</w:t>
      </w:r>
    </w:p>
    <w:p>
      <w:pPr>
        <w:spacing w:after="0" w:line="128"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Our executive officers have I&amp;D objectives as part of their individual performance component, comprising a portion of their short-term incentive awards. Each year our leaders cascade I&amp;D objectives throughout the organization, and we continue to reinforce objective and fair processes that mitigate bias in all our talent programs and processes. Examples of key activities include:</w:t>
      </w:r>
    </w:p>
    <w:p>
      <w:pPr>
        <w:spacing w:after="0" w:line="123" w:lineRule="exact"/>
        <w:rPr>
          <w:sz w:val="20"/>
          <w:szCs w:val="20"/>
          <w:color w:val="auto"/>
        </w:rPr>
      </w:pPr>
    </w:p>
    <w:p>
      <w:pPr>
        <w:ind w:left="760" w:right="240" w:hanging="378"/>
        <w:spacing w:after="0" w:line="281"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global I&amp;D council, sponsored by our CEO and CHRO, sets the standard for our I&amp;D initiatives globally. It is driven by regional councils that provide local perspectives and help to translate our global priorities into actions within each region.</w:t>
      </w:r>
    </w:p>
    <w:p>
      <w:pPr>
        <w:spacing w:after="0" w:line="10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I&amp;D processes in place that are intended to ensure outcomes represent our values and progress our diversity goals.</w:t>
      </w:r>
    </w:p>
    <w:p>
      <w:pPr>
        <w:spacing w:after="0" w:line="170" w:lineRule="exact"/>
        <w:rPr>
          <w:rFonts w:ascii="Times New Roman" w:cs="Times New Roman" w:eastAsia="Times New Roman" w:hAnsi="Times New Roman"/>
          <w:sz w:val="18"/>
          <w:szCs w:val="18"/>
          <w:color w:val="auto"/>
        </w:rPr>
      </w:pPr>
    </w:p>
    <w:p>
      <w:pPr>
        <w:ind w:left="760" w:right="120" w:hanging="378"/>
        <w:spacing w:after="0" w:line="265"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inclusion networks are designed to engage our talent and better connect us to each other, our clients and the communities in which we work and live. Current inclusion networks include: Gender Equity, LGBT+, Multicultural, Workability (Asia, North America, the U.K.) and Young Professionals (Asia, the U.K., Western Europe).</w:t>
      </w:r>
    </w:p>
    <w:p>
      <w:pPr>
        <w:spacing w:after="0" w:line="11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Total rewards – </w:t>
      </w:r>
      <w:r>
        <w:rPr>
          <w:rFonts w:ascii="Times New Roman" w:cs="Times New Roman" w:eastAsia="Times New Roman" w:hAnsi="Times New Roman"/>
          <w:sz w:val="18"/>
          <w:szCs w:val="18"/>
          <w:color w:val="auto"/>
        </w:rPr>
        <w:t>We invest significant resources in our most important asset, our colleagues. We generally seek to offer market competitive rewards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packages comprising of a mix of base salary and incentives aligned to our pay-for-performance philosophy plus benefits that support health and wellbeing as well as the ability to plan for the future. In 2022, WTW commenced a companywide review of total rewards, encompassing compensation, benefit offerings and lifestyle support. It entails an assessment of data attained through surveys, interviews, focus groups and external benchmarking.</w:t>
      </w:r>
    </w:p>
    <w:p>
      <w:pPr>
        <w:spacing w:after="0" w:line="125"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Our total rewards programs align to our commitment to colleague health and wellbeing, ensuring our colleagues are protected in the event of accident or illness, have sufficient paid time off and can accumulate capital for personal needs and retirement.</w:t>
      </w:r>
    </w:p>
    <w:p>
      <w:pPr>
        <w:spacing w:after="0" w:line="10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Work Styles </w:t>
      </w:r>
      <w:r>
        <w:rPr>
          <w:rFonts w:ascii="Times New Roman" w:cs="Times New Roman" w:eastAsia="Times New Roman" w:hAnsi="Times New Roman"/>
          <w:sz w:val="18"/>
          <w:szCs w:val="18"/>
          <w:color w:val="auto"/>
        </w:rPr>
        <w:t>– In the past few years, we have adapted the way we work, enabling colleagues to work across a wide variety of different environments.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2022 we officially launched WTW Work Styles, our approach to recognizing that there are many different approaches to work, which includes three distinct colleague working solutions; office-based, hybrid and remote. This new framework has flexibility at its core, and it’s based on the idea that the work itself drives where and how the work gets done. As we grow, simplify, and transform WTW, this cultural shift is a differentiator for us in the market and is an important part of our ongoing strategy to attract and retain top talent.</w:t>
      </w:r>
    </w:p>
    <w:p>
      <w:pPr>
        <w:spacing w:after="0" w:line="128" w:lineRule="exact"/>
        <w:rPr>
          <w:sz w:val="20"/>
          <w:szCs w:val="20"/>
          <w:color w:val="auto"/>
        </w:rPr>
      </w:pPr>
    </w:p>
    <w:p>
      <w:pPr>
        <w:ind w:right="680"/>
        <w:spacing w:after="0" w:line="281" w:lineRule="auto"/>
        <w:rPr>
          <w:sz w:val="20"/>
          <w:szCs w:val="20"/>
          <w:color w:val="auto"/>
        </w:rPr>
      </w:pPr>
      <w:r>
        <w:rPr>
          <w:rFonts w:ascii="Times New Roman" w:cs="Times New Roman" w:eastAsia="Times New Roman" w:hAnsi="Times New Roman"/>
          <w:sz w:val="18"/>
          <w:szCs w:val="18"/>
          <w:color w:val="auto"/>
        </w:rPr>
        <w:t>The failure to successfully attract and retain qualified personnel could materially adversely affect our results of operations and prospects. For more information see Part I, Item 1A Risk Factors of this Annual Report on Form 10-K.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face competition in all fields in which we operate, based on factors including global capability, product breadth, innovation, quality of service and price. We compete with companies such as Accenture plc, Aon plc, Arthur J. Gallagher &amp; Co., Brown &amp; Brown Inc., Cognizant Technology Solutions Corporation, Marsh &amp; McLennan Companies, Inc. (‘Marsh &amp; McLennan’) and Robert Half International Inc., as well as with numerous specialty, regional and local firms. Competition for business is intense in all of our business lines and in every insurance market, and in some business lines Marsh &amp; McLennan and Aon plc and other competitors have greater market share than we do.</w:t>
      </w:r>
    </w:p>
    <w:p>
      <w:pPr>
        <w:spacing w:after="0" w:line="12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Competition on premium rates has also exacerbated the pressures caused by a continuing reduction in demand in some classes of business. For example, rather than purchase additional insurance through brokers, some insureds have been retaining a greater proportion of their risk portfolios than previously. Industrial and commercial companies increasingly rely upon their own subsidiary insurance companies, known as captive insurance companies, self-insurance pools, risk retention groups, mutual insurance companies and other mechanisms for funding their risks, rather than buy insurance. Additional competitive pressures have arisen and are expected to continue to arise from the entry and expansion of new market participants, such as banks, accounting firms, new brokers and insurance carriers themselves, offering risk management or transfer services.</w:t>
      </w:r>
    </w:p>
    <w:p>
      <w:pPr>
        <w:spacing w:after="0" w:line="132"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The human capital and risk management consulting industries are highly competitive. We believe we have developed competitive advantages in providing HR consulting and risk management consulting services. We face strong competition from numerous sources, including from large consulting firms, accounting firms and specialized firms focused on these services as further identified below. See Part I, Item 1A Risk Factors – ‘Demand for our services could decrease for various reasons, including a general economic</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2" w:name="page13"/>
    <w:bookmarkEnd w:id="12"/>
    <w:p>
      <w:pPr>
        <w:ind w:right="140"/>
        <w:spacing w:after="0" w:line="281" w:lineRule="auto"/>
        <w:rPr>
          <w:sz w:val="20"/>
          <w:szCs w:val="20"/>
          <w:color w:val="auto"/>
        </w:rPr>
      </w:pPr>
      <w:r>
        <w:rPr>
          <w:rFonts w:ascii="Times New Roman" w:cs="Times New Roman" w:eastAsia="Times New Roman" w:hAnsi="Times New Roman"/>
          <w:sz w:val="18"/>
          <w:szCs w:val="18"/>
          <w:color w:val="auto"/>
        </w:rPr>
        <w:t>downturn, increased competition, or a decline in a client’s or an industry’s financial condition or prospects, all of which could substantially and negatively affect us’, for a description of competition-related risks that may affect demand for the Company’s services.</w:t>
      </w:r>
    </w:p>
    <w:p>
      <w:pPr>
        <w:spacing w:after="0" w:line="109"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Our largest competitors in the pension consulting industry are Mercer HR Consulting (a Marsh &amp; McLennan company) and Aon plc. In addition, we face vigorous competition from numerous other companies in the global HR consulting industry.</w:t>
      </w:r>
    </w:p>
    <w:p>
      <w:pPr>
        <w:spacing w:after="0" w:line="10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major competitors in the insurance consulting and software industry include Milliman, Oliver Wyman (a Marsh &amp; McLennan company), the big four accounting firms (Deloitte LLP, Ernst &amp; Young, PricewaterhouseCoopers, and KPMG), and SunGard. Aon plc, Buck Consultants (an HIG Capital Company), Connextions (a United Healthcare company) and Mercer (a Marsh &amp; McLennan company). Automatic Data Processing and Fidelity are among our largest competitors in the insurance exchange industry. With the implementation of the Patient Protection and Affordable Care Act, we also compete with the public exchanges currently run by the U.S. federal, and state governments. We also compete with providers of account-based health plans and consumer-directed benefits such as WageWorks and HealthEquity.</w:t>
      </w:r>
    </w:p>
    <w:p>
      <w:pPr>
        <w:spacing w:after="0" w:line="13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market for our services is subject to change as a result of economic, regulatory and legislative changes, technological developments, and increased competition from established and new competitors. Regulatory and legislative actions, along with continuously evolving technological developments, will likely have the greatest impact on the overall market for our exchange products. See Part I, Item 1A Risk Factors – ‘Our business will be negatively affected if we are not able to anticipate and keep pace with rapid changes in government laws or regulations, or if government laws or regulations decrease the need for our services or increase our costs’ and related risk factors for a description of legal, non-financial regulatory, and compliance risks to the Company.</w:t>
      </w:r>
    </w:p>
    <w:p>
      <w:pPr>
        <w:spacing w:after="0" w:line="132" w:lineRule="exact"/>
        <w:rPr>
          <w:sz w:val="20"/>
          <w:szCs w:val="20"/>
          <w:color w:val="auto"/>
        </w:rPr>
      </w:pPr>
    </w:p>
    <w:p>
      <w:pPr>
        <w:ind w:right="400"/>
        <w:spacing w:after="0" w:line="312" w:lineRule="auto"/>
        <w:rPr>
          <w:sz w:val="20"/>
          <w:szCs w:val="20"/>
          <w:color w:val="auto"/>
        </w:rPr>
      </w:pPr>
      <w:r>
        <w:rPr>
          <w:rFonts w:ascii="Times New Roman" w:cs="Times New Roman" w:eastAsia="Times New Roman" w:hAnsi="Times New Roman"/>
          <w:sz w:val="17"/>
          <w:szCs w:val="17"/>
          <w:color w:val="auto"/>
        </w:rPr>
        <w:t>We believe the primary factors in selecting an HR consulting or risk management services firm include reputation; the ability to provide measurable increases to shareholder value and return on investment; geographic scope; quality of service; and the ability to tailor services to clients’ unique needs.</w:t>
      </w:r>
    </w:p>
    <w:p>
      <w:pPr>
        <w:spacing w:after="0" w:line="85" w:lineRule="exact"/>
        <w:rPr>
          <w:sz w:val="20"/>
          <w:szCs w:val="20"/>
          <w:color w:val="auto"/>
        </w:rPr>
      </w:pPr>
    </w:p>
    <w:p>
      <w:pPr>
        <w:jc w:val="both"/>
        <w:ind w:right="440"/>
        <w:spacing w:after="0" w:line="265" w:lineRule="auto"/>
        <w:rPr>
          <w:sz w:val="20"/>
          <w:szCs w:val="20"/>
          <w:color w:val="auto"/>
        </w:rPr>
      </w:pPr>
      <w:r>
        <w:rPr>
          <w:rFonts w:ascii="Times New Roman" w:cs="Times New Roman" w:eastAsia="Times New Roman" w:hAnsi="Times New Roman"/>
          <w:sz w:val="18"/>
          <w:szCs w:val="18"/>
          <w:color w:val="auto"/>
        </w:rPr>
        <w:t>With regard to the marketplace for individuals and active employee exchanges, we believe that clients base their decisions on a variety of factors that include the ability of the provider to deliver measurable cost savings, a strong reputation for efficient execution, a provider’s capability in delivering a broad number of configurations to serve various population segments, and an innovative service delivery model and platform.</w:t>
      </w:r>
    </w:p>
    <w:p>
      <w:pPr>
        <w:spacing w:after="0" w:line="123"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For our traditional consulting and risk management services and the rapidly evolving exchange products, we believe we compete favorably with respect to these factors.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business activities are subject to legal requirements and governmental and quasi-governmental regulatory supervision in all countries in which we operate. Also, such regulations may require individual or company licensing to conduct our business activities. While these requirements may vary from location to location, they are generally designed to protect our clients by establishing minimum standards of conduct and practice, particularly regarding the provision of advice and product information, as well as financial criteria. We are also subject to data privacy regulations that apply to health, medical, financial and other types of personal information belonging to our employees, clients and their employees and other third parties across most jurisdictions, including, among others, the E.U. and U.K. General Data Protection Regulations, the Personal Information Protection Law (‘PIPL’) in China and privacy legislation in certain U.S. states. Our most significant regulatory regions are further described below: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States</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activities in connection with insurance brokerage services within the U.S. are subject to regulation and supervision by state authorities. Although the scope of regulation and form of supervision may vary from state to state, insurance laws in the United States are often complex and generally grant broad discretion to supervisory authorities in adopting regulations and supervising regulated activities. That supervision generally includes the licensing of insurance brokers and agents and the regulation of the handling and investment of client funds held in a fiduciary capacity. Our continuing ability to provide insurance brokerage in the states in which we currently operate is dependent upon our compliance with the rules and regulations promulgated by the regulatory authorities in each of these states. Additionally, some of our private exchange activities, including our TRANZACT business which focuses on direct-to-consumer Medicare policy sales, are overseen by the Centers for Medicare &amp; Medicaid Services, which is part of the Department of Health and Human Services. Furthermore, certain of our activities are subject to regulation under the Health Insurance Portability and Accountability Act (‘HIPAA’), which is enforced by the Office for Civil Rights within the Department of Health and Human Services. As we implement and expand our direct-to-consumer sales and marketing solutions through our Benefits Delivery &amp; Administration business, we are subject to various federal and state laws and regulations that prescribe when and how we may market to consumers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3" w:name="page14"/>
    <w:bookmarkEnd w:id="13"/>
    <w:p>
      <w:pPr>
        <w:ind w:right="340"/>
        <w:spacing w:after="0" w:line="281" w:lineRule="auto"/>
        <w:rPr>
          <w:sz w:val="20"/>
          <w:szCs w:val="20"/>
          <w:color w:val="auto"/>
        </w:rPr>
      </w:pPr>
      <w:r>
        <w:rPr>
          <w:rFonts w:ascii="Times New Roman" w:cs="Times New Roman" w:eastAsia="Times New Roman" w:hAnsi="Times New Roman"/>
          <w:sz w:val="18"/>
          <w:szCs w:val="18"/>
          <w:color w:val="auto"/>
        </w:rPr>
        <w:t>(including, without limitation, the Telephone Consumer Protection Act and other telemarketing laws and the Medicare Communications and Marketing Guidelines issued by the Center for Medicare Services).</w:t>
      </w:r>
    </w:p>
    <w:p>
      <w:pPr>
        <w:spacing w:after="0" w:line="10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Certain of our activities are governed by other regulatory bodies, such as investment and securities licensing authorities. Our activities in connection with investment services within the United States are subject to regulation and supervision at both the federal and state levels. At the federal level, certain of our operating subsidiaries are regulated by the SEC through the Investment Company Act of 1940 and the Investment Advisers’ Act of 1940 and by the Department of Labor through the Employee Retirement Income Security Act, or ERISA. In connection with the SEC regulations, we are required to file certain reports, and are subject to various marketing restrictions, among other requirements. In connection with ERISA regulations, we are limited in the actions we can take for plans for which we serve as fiduciaries, among other matters. Our U.S. investment activities are also subject to certain state regulatory schemes, and some activities also are subject to regulation by the Commodities and Futures Trading Commission under the Commodities Exchange Act.</w:t>
      </w:r>
    </w:p>
    <w:p>
      <w:pPr>
        <w:spacing w:after="0" w:line="135"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Our activities in connection with Third Party Administrator (‘TPA’) services in the United States are also subject to regulation and supervision by many state authorities. Licensing requirements and supervision vary from state to state. As with insurance brokerage services, our continuing ability to provide these services in states that regulate our activities is dependent upon our compliance with the rules and regulations promulgated from time to time by the regulatory authorities in each of these states.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Kingdom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U.K., our business is regulated by the Financial Conduct Authority (‘FCA’).</w:t>
      </w:r>
    </w:p>
    <w:p>
      <w:pPr>
        <w:spacing w:after="0" w:line="17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FCA has a sole strategic objective: to ensure that the relevant markets function well. Its operational objectives are to secure an appropriate degree of protection for consumers, to protect and enhance the integrity of the U.K. financial system, and to promote effective competition in the interests of consumers. The FCA has a wide range of rule-making, investigatory and enforcement powers (including the power to censure and fine) and conducts monitoring visits to assess our compliance with regulatory requirements. In addition, the FCA extended the Senior Managers and Certification Regime (‘SMCR’) which became effective on December 9, 2019 in relation to our U.K. FCA-regulated businesses. The SMCR is designed to drive improvements in culture and governance within financial services firms and to deter misconduct by increasing individual accountability to the FCA.</w:t>
      </w:r>
    </w:p>
    <w:p>
      <w:pPr>
        <w:spacing w:after="0" w:line="132"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New regulations and modifications to existing regulations that are specific to the U.K. have and will continue to result in differences from the regulatory requirements of the E.U. See Part I, Item 1A Risk Factors, for a description of Brexit-related risks to the Company.</w:t>
      </w:r>
    </w:p>
    <w:p>
      <w:pPr>
        <w:spacing w:after="0" w:line="109"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Furthermore, as a result of Brexit, the WTW Brexit broking solution (the U.K. Branch of Willis Towers Watson SA/NV) has been required to seek authorization from the FCA as a third country branch. This application for full authorization was submitted in March 2022 and we are currently awaiting approval from the FCA. This will result in an increase in FCA supervision in the future with additional requirements for the branch in key areas such as SMCR.</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European Union</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2005, the European Union Insurance Mediation Directive introduced rules to enable insurance and reinsurance intermediaries to operate and provide services within each member state of the E.U. on a basis consistent with the E.U. single market and customer protection aims. Each E.U. member state in which we operate is required to ensure that the insurance and reinsurance intermediaries resident in their country are registered with a statutory body in that country and that each intermediary meets professional requirements in relation to their competence, good repute, professional indemnity cover and financial capacity. The E.U. issued an additional Insurance Distribution Directive that expands the 2005 directive, and all E.U. member states in which we operate were required to enact the directive and adopt local country laws by October 1, 2018.</w:t>
      </w:r>
    </w:p>
    <w:p>
      <w:pPr>
        <w:spacing w:after="0" w:line="132"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The ‘Whistleblower Protection Directive’, on the protection of persons who report breaches of E.U. law, entered into force on December 16, 2019 (Directive 2019/1937). This Directive includes reporting procedures for these persons. The new rules will require the creation of safe channels for reporting both within an organization - private or public - and to public authorities. They will also provide protection to whistleblowers against retaliation.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7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Certain of our entities that undertake pension scheme management are subject to MiFID (Markets in Financial Instruments Directive) and MiFIR (the Markets in Financial Instruments Regulation). In addition, revisions to MiFID (‘MiFID II’) took effect in January 2018. These revisions are aimed at strengthening investor protection and improving the function of financial markets. MiFID II imposes a variety of requirements that include, among others, rules relating to product governance and independent investment advice, responsibility of management bodies, inducements, information and reporting to clients, cross-selling, remuneration of staff, and best</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4" w:name="page15"/>
    <w:bookmarkEnd w:id="14"/>
    <w:p>
      <w:pPr>
        <w:ind w:right="240"/>
        <w:spacing w:after="0" w:line="281" w:lineRule="auto"/>
        <w:rPr>
          <w:sz w:val="20"/>
          <w:szCs w:val="20"/>
          <w:color w:val="auto"/>
        </w:rPr>
      </w:pPr>
      <w:r>
        <w:rPr>
          <w:rFonts w:ascii="Times New Roman" w:cs="Times New Roman" w:eastAsia="Times New Roman" w:hAnsi="Times New Roman"/>
          <w:sz w:val="18"/>
          <w:szCs w:val="18"/>
          <w:color w:val="auto"/>
        </w:rPr>
        <w:t>execution of trades for clients. Further, some of our entities are also authorized and regulated by certain financial services authorities in countries such as Sweden, Ireland, the Netherlands and the U.K.</w:t>
      </w:r>
    </w:p>
    <w:p>
      <w:pPr>
        <w:spacing w:after="0" w:line="109"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All companies carrying on similar activities in a given jurisdiction are subject to regulations which are not dissimilar to the requirements for our operations in the U.S. and U.K. We do not consider these regulatory requirements as adversely affecting our competitive position.</w:t>
      </w:r>
    </w:p>
    <w:p>
      <w:pPr>
        <w:spacing w:after="0" w:line="10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Across many jurisdictions we are subject to various financial crime laws and regulations through our activities, activities of associated persons, the products and services we provide and our business and client relationships. Such laws and regulations relate to, among other areas, sanctions and export control, anti-bribery, anti-corruption, anti-money-laundering and counter-terrorist financing.</w:t>
      </w:r>
    </w:p>
    <w:p>
      <w:pPr>
        <w:spacing w:after="0" w:line="123"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Our failure, or that of our employees, to satisfy the regulatory compliance requirements or the legal requirements governing our activities, can result in disciplinary action, fines, reputational damage and financial harm.</w:t>
      </w:r>
    </w:p>
    <w:p>
      <w:pPr>
        <w:spacing w:after="0" w:line="109"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See Part I, Item 1A Risk Factors, for an analysis of how actions by regulatory authorities or changes in legislation and regulation as well as compliance with evolving laws, including with respect to data privacy, cybersecurity, and Brexit, in the jurisdictions in which we operate may have an adverse effect on our business.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Executive Officers of the Registrant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executive officers of the Company as of February 24, 2023 were as follows:</w:t>
      </w:r>
    </w:p>
    <w:p>
      <w:pPr>
        <w:spacing w:after="0" w:line="16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212529"/>
        </w:rPr>
        <w:t xml:space="preserve">Kristy D. Banas (age 51) </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b w:val="1"/>
          <w:bCs w:val="1"/>
          <w:color w:val="212529"/>
        </w:rPr>
        <w:t xml:space="preserve"> </w:t>
      </w:r>
      <w:r>
        <w:rPr>
          <w:rFonts w:ascii="Times New Roman" w:cs="Times New Roman" w:eastAsia="Times New Roman" w:hAnsi="Times New Roman"/>
          <w:sz w:val="18"/>
          <w:szCs w:val="18"/>
          <w:color w:val="000000"/>
        </w:rPr>
        <w:t>Ms. Banas has served as Chief Human Resources Officer since August 16, 2021. Prior to that, she served as the Senior</w:t>
      </w:r>
      <w:r>
        <w:rPr>
          <w:rFonts w:ascii="Times New Roman" w:cs="Times New Roman" w:eastAsia="Times New Roman" w:hAnsi="Times New Roman"/>
          <w:sz w:val="18"/>
          <w:szCs w:val="18"/>
          <w:b w:val="1"/>
          <w:bCs w:val="1"/>
          <w:color w:val="212529"/>
        </w:rPr>
        <w:t xml:space="preserve"> </w:t>
      </w:r>
      <w:r>
        <w:rPr>
          <w:rFonts w:ascii="Times New Roman" w:cs="Times New Roman" w:eastAsia="Times New Roman" w:hAnsi="Times New Roman"/>
          <w:sz w:val="18"/>
          <w:szCs w:val="18"/>
          <w:color w:val="000000"/>
        </w:rPr>
        <w:t>Director, Global Talent Advisor for Human Capital &amp; Benefits from March 2019 to August 2021. She also served as Senior Director and Head of Global Total Rewards, HR Integration and the HR Business Office from November 2016 to March 2019. From January 2016 to November 2016, Ms. Banas served as Senior Director and Global HR Leader, WTW Operations and Technology. From July 2011 to January 2016, Ms. Banas served as Senior Vice President, Global HR Director for WTW Corporate Functions, and was the Executive HR Sponsor for Global Operations Improvement. Ms. Banas was Vice President and Global HR Partner with XL Capital/ XL Global Services / XL Insurance from November 2001 to June 2011. Ms. Banas has a BS in Business Management from Fairfield University and a partial MS in Human Resource Management from the University of Connecticut.</w:t>
      </w:r>
    </w:p>
    <w:p>
      <w:pPr>
        <w:spacing w:after="0" w:line="1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color w:val="212529"/>
        </w:rPr>
        <w:t xml:space="preserve">Anne D. Bodnar (age 66) </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b w:val="1"/>
          <w:bCs w:val="1"/>
          <w:color w:val="212529"/>
        </w:rPr>
        <w:t xml:space="preserve"> </w:t>
      </w:r>
      <w:r>
        <w:rPr>
          <w:rFonts w:ascii="Times New Roman" w:cs="Times New Roman" w:eastAsia="Times New Roman" w:hAnsi="Times New Roman"/>
          <w:sz w:val="18"/>
          <w:szCs w:val="18"/>
          <w:color w:val="000000"/>
        </w:rPr>
        <w:t>Ms. Bodnar has served as Chief Administrative Officer at WTW since May 31, 2019 and also served as Chief Human</w:t>
      </w:r>
      <w:r>
        <w:rPr>
          <w:rFonts w:ascii="Times New Roman" w:cs="Times New Roman" w:eastAsia="Times New Roman" w:hAnsi="Times New Roman"/>
          <w:sz w:val="18"/>
          <w:szCs w:val="18"/>
          <w:b w:val="1"/>
          <w:bCs w:val="1"/>
          <w:color w:val="212529"/>
        </w:rPr>
        <w:t xml:space="preserve"> </w:t>
      </w:r>
      <w:r>
        <w:rPr>
          <w:rFonts w:ascii="Times New Roman" w:cs="Times New Roman" w:eastAsia="Times New Roman" w:hAnsi="Times New Roman"/>
          <w:sz w:val="18"/>
          <w:szCs w:val="18"/>
          <w:color w:val="000000"/>
        </w:rPr>
        <w:t>Resources Officer from January 4, 2016 through August 16, 2021. Previously, Ms. Bodnar served on Towers Watson’s Management Committee since January 2015 and as Towers Watson’s Chief Administrative Officer since January 1, 2010. Ms. Bodnar previously served as Managing Director of HR at Towers Perrin beginning in 2001. From 1995 to 2000, Ms. Bodnar led Towers Perrin’s recruiting and learning and development efforts. Prior to that, she was a strategy consultant in Towers Perrin’s Human Capital business. Earlier in her career, Ms. Bodnar held several operational and strategic planning roles at what is now JPMorgan Chase. Ms. Bodnar graduated cum laude and Phi Beta Kappa from Smith College and has an M.B.A. from Harvard Business School.</w:t>
      </w:r>
    </w:p>
    <w:p>
      <w:pPr>
        <w:spacing w:after="0" w:line="1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Alexis Faber (age 45) - </w:t>
      </w:r>
      <w:r>
        <w:rPr>
          <w:rFonts w:ascii="Times New Roman" w:cs="Times New Roman" w:eastAsia="Times New Roman" w:hAnsi="Times New Roman"/>
          <w:sz w:val="18"/>
          <w:szCs w:val="18"/>
          <w:color w:val="2F2C31"/>
        </w:rPr>
        <w:t>Ms. Faber has served as Chief Operating Officer at WTW since August 30, 2021.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she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F2C31"/>
        </w:rPr>
        <w:t>served as Chief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F2C31"/>
        </w:rPr>
        <w:t>Officer for Corporate Risk &amp; Broking f</w:t>
      </w:r>
      <w:r>
        <w:rPr>
          <w:rFonts w:ascii="Times New Roman" w:cs="Times New Roman" w:eastAsia="Times New Roman" w:hAnsi="Times New Roman"/>
          <w:sz w:val="18"/>
          <w:szCs w:val="18"/>
          <w:color w:val="000000"/>
        </w:rPr>
        <w:t>rom</w:t>
      </w:r>
      <w:r>
        <w:rPr>
          <w:rFonts w:ascii="Times New Roman" w:cs="Times New Roman" w:eastAsia="Times New Roman" w:hAnsi="Times New Roman"/>
          <w:sz w:val="18"/>
          <w:szCs w:val="18"/>
          <w:color w:val="2F2C31"/>
        </w:rPr>
        <w:t xml:space="preserve"> March 2018 to August 2021. Prior to that, </w:t>
      </w:r>
      <w:r>
        <w:rPr>
          <w:rFonts w:ascii="Times New Roman" w:cs="Times New Roman" w:eastAsia="Times New Roman" w:hAnsi="Times New Roman"/>
          <w:sz w:val="18"/>
          <w:szCs w:val="18"/>
          <w:color w:val="000000"/>
        </w:rPr>
        <w:t>Ms. Faber</w:t>
      </w:r>
      <w:r>
        <w:rPr>
          <w:rFonts w:ascii="Times New Roman" w:cs="Times New Roman" w:eastAsia="Times New Roman" w:hAnsi="Times New Roman"/>
          <w:sz w:val="18"/>
          <w:szCs w:val="18"/>
          <w:color w:val="2F2C31"/>
        </w:rPr>
        <w:t xml:space="preserve"> served as </w:t>
      </w:r>
      <w:r>
        <w:rPr>
          <w:rFonts w:ascii="Times New Roman" w:cs="Times New Roman" w:eastAsia="Times New Roman" w:hAnsi="Times New Roman"/>
          <w:sz w:val="18"/>
          <w:szCs w:val="18"/>
          <w:color w:val="000000"/>
        </w:rPr>
        <w:t>G</w:t>
      </w:r>
      <w:r>
        <w:rPr>
          <w:rFonts w:ascii="Times New Roman" w:cs="Times New Roman" w:eastAsia="Times New Roman" w:hAnsi="Times New Roman"/>
          <w:sz w:val="18"/>
          <w:szCs w:val="18"/>
          <w:color w:val="2F2C31"/>
        </w:rPr>
        <w:t xml:space="preserve">lobal </w:t>
      </w:r>
      <w:r>
        <w:rPr>
          <w:rFonts w:ascii="Times New Roman" w:cs="Times New Roman" w:eastAsia="Times New Roman" w:hAnsi="Times New Roman"/>
          <w:sz w:val="18"/>
          <w:szCs w:val="18"/>
          <w:color w:val="000000"/>
        </w:rPr>
        <w:t>H</w:t>
      </w:r>
      <w:r>
        <w:rPr>
          <w:rFonts w:ascii="Times New Roman" w:cs="Times New Roman" w:eastAsia="Times New Roman" w:hAnsi="Times New Roman"/>
          <w:sz w:val="18"/>
          <w:szCs w:val="18"/>
          <w:color w:val="2F2C31"/>
        </w:rPr>
        <w:t xml:space="preserve">ead of Financial Lines </w:t>
      </w:r>
      <w:r>
        <w:rPr>
          <w:rFonts w:ascii="Times New Roman" w:cs="Times New Roman" w:eastAsia="Times New Roman" w:hAnsi="Times New Roman"/>
          <w:sz w:val="18"/>
          <w:szCs w:val="18"/>
          <w:color w:val="000000"/>
        </w:rPr>
        <w:t>since</w:t>
      </w:r>
      <w:r>
        <w:rPr>
          <w:rFonts w:ascii="Times New Roman" w:cs="Times New Roman" w:eastAsia="Times New Roman" w:hAnsi="Times New Roman"/>
          <w:sz w:val="18"/>
          <w:szCs w:val="18"/>
          <w:color w:val="2F2C31"/>
        </w:rPr>
        <w:t xml:space="preserve"> January 2016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F2C31"/>
        </w:rPr>
        <w:t xml:space="preserve"> Head of FINEX </w:t>
      </w:r>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2F2C31"/>
        </w:rPr>
        <w:t xml:space="preserve"> North America </w:t>
      </w:r>
      <w:r>
        <w:rPr>
          <w:rFonts w:ascii="Times New Roman" w:cs="Times New Roman" w:eastAsia="Times New Roman" w:hAnsi="Times New Roman"/>
          <w:sz w:val="18"/>
          <w:szCs w:val="18"/>
          <w:color w:val="000000"/>
        </w:rPr>
        <w:t>since</w:t>
      </w:r>
      <w:r>
        <w:rPr>
          <w:rFonts w:ascii="Times New Roman" w:cs="Times New Roman" w:eastAsia="Times New Roman" w:hAnsi="Times New Roman"/>
          <w:sz w:val="18"/>
          <w:szCs w:val="18"/>
          <w:color w:val="2F2C31"/>
        </w:rPr>
        <w:t xml:space="preserve"> April 2014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F2C31"/>
        </w:rPr>
        <w:t xml:space="preserve"> Risk Control and Claim Advocacy Practice Leader </w:t>
      </w:r>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2F2C31"/>
        </w:rPr>
        <w:t xml:space="preserve"> North America </w:t>
      </w:r>
      <w:r>
        <w:rPr>
          <w:rFonts w:ascii="Times New Roman" w:cs="Times New Roman" w:eastAsia="Times New Roman" w:hAnsi="Times New Roman"/>
          <w:sz w:val="18"/>
          <w:szCs w:val="18"/>
          <w:color w:val="000000"/>
        </w:rPr>
        <w:t>since</w:t>
      </w:r>
      <w:r>
        <w:rPr>
          <w:rFonts w:ascii="Times New Roman" w:cs="Times New Roman" w:eastAsia="Times New Roman" w:hAnsi="Times New Roman"/>
          <w:sz w:val="18"/>
          <w:szCs w:val="18"/>
          <w:color w:val="2F2C31"/>
        </w:rPr>
        <w:t xml:space="preserve"> July 2012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F2C31"/>
        </w:rPr>
        <w:t xml:space="preserve"> Chief Operating Officer for Willis North America </w:t>
      </w:r>
      <w:r>
        <w:rPr>
          <w:rFonts w:ascii="Times New Roman" w:cs="Times New Roman" w:eastAsia="Times New Roman" w:hAnsi="Times New Roman"/>
          <w:sz w:val="18"/>
          <w:szCs w:val="18"/>
          <w:color w:val="000000"/>
        </w:rPr>
        <w:t>since</w:t>
      </w:r>
      <w:r>
        <w:rPr>
          <w:rFonts w:ascii="Times New Roman" w:cs="Times New Roman" w:eastAsia="Times New Roman" w:hAnsi="Times New Roman"/>
          <w:sz w:val="18"/>
          <w:szCs w:val="18"/>
          <w:color w:val="2F2C31"/>
        </w:rPr>
        <w:t xml:space="preserve"> August 2009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2F2C31"/>
        </w:rPr>
        <w:t xml:space="preserve"> as Chief Operating Officer for the Executive Risks practice </w:t>
      </w:r>
      <w:r>
        <w:rPr>
          <w:rFonts w:ascii="Times New Roman" w:cs="Times New Roman" w:eastAsia="Times New Roman" w:hAnsi="Times New Roman"/>
          <w:sz w:val="18"/>
          <w:szCs w:val="18"/>
          <w:color w:val="000000"/>
        </w:rPr>
        <w:t>since</w:t>
      </w:r>
      <w:r>
        <w:rPr>
          <w:rFonts w:ascii="Times New Roman" w:cs="Times New Roman" w:eastAsia="Times New Roman" w:hAnsi="Times New Roman"/>
          <w:sz w:val="18"/>
          <w:szCs w:val="18"/>
          <w:color w:val="2F2C31"/>
        </w:rPr>
        <w:t xml:space="preserve"> September 2006</w:t>
      </w:r>
      <w:r>
        <w:rPr>
          <w:rFonts w:ascii="Times New Roman" w:cs="Times New Roman" w:eastAsia="Times New Roman" w:hAnsi="Times New Roman"/>
          <w:sz w:val="18"/>
          <w:szCs w:val="18"/>
          <w:color w:val="000000"/>
        </w:rPr>
        <w:t>. Prior</w:t>
      </w:r>
      <w:r>
        <w:rPr>
          <w:rFonts w:ascii="Times New Roman" w:cs="Times New Roman" w:eastAsia="Times New Roman" w:hAnsi="Times New Roman"/>
          <w:sz w:val="18"/>
          <w:szCs w:val="18"/>
          <w:color w:val="2F2C31"/>
        </w:rPr>
        <w:t xml:space="preserve"> </w:t>
      </w:r>
      <w:r>
        <w:rPr>
          <w:rFonts w:ascii="Times New Roman" w:cs="Times New Roman" w:eastAsia="Times New Roman" w:hAnsi="Times New Roman"/>
          <w:sz w:val="18"/>
          <w:szCs w:val="18"/>
          <w:color w:val="000000"/>
        </w:rPr>
        <w:t xml:space="preserve">to that, Ms. Faber served as </w:t>
      </w:r>
      <w:r>
        <w:rPr>
          <w:rFonts w:ascii="Times New Roman" w:cs="Times New Roman" w:eastAsia="Times New Roman" w:hAnsi="Times New Roman"/>
          <w:sz w:val="18"/>
          <w:szCs w:val="18"/>
          <w:color w:val="2F2C31"/>
        </w:rPr>
        <w:t>Regional Finance Officer for North America since July 2004, and as Financial and Operations Controller for Global Specialties,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F2C31"/>
        </w:rPr>
        <w:t>North America since August 2003. Before joining WTW, Ms. Faber worked in investment banking at Schroder Salomon Smith Barney and at Citigroup. Ms. Faber holds a bachelor’s degree in economics from Williams College and an M.B.A from Columbia Business School.</w:t>
      </w:r>
    </w:p>
    <w:p>
      <w:pPr>
        <w:spacing w:after="0" w:line="12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Matthew S. Furman (age 53) </w:t>
      </w:r>
      <w:r>
        <w:rPr>
          <w:rFonts w:ascii="Times New Roman" w:cs="Times New Roman" w:eastAsia="Times New Roman" w:hAnsi="Times New Roman"/>
          <w:sz w:val="18"/>
          <w:szCs w:val="18"/>
          <w:color w:val="auto"/>
        </w:rPr>
        <w:t>- Mr. Furman has served as General Counsel at WTW since January 4, 2016. Previously, Mr. Furman served as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Vice President and Group General Counsel at Willis Group Holdings, where he was a member of the Operating Committee since April 2015. From 2007 until March 2015, Mr. Furman was Senior Vice President, Group General Counsel-Corporate and Governance, and Corporate Secretary for The Travelers Companies, Inc. From 2000 until 2007, Mr. Furman was an attorney at Goldman, Sachs &amp; Co. in New York, where he was Vice President and Associate General Counsel in the finance and corporate legal group. Prior to that, he was in private practice, with almost six years’ experience at Simpson Thacher &amp; Bartlett in New York. Mr. Furman also serves as a Trustee of the Jewish Theological Seminary and a Director of the Legal Aid Society. He previously served as a member of the U.S. Securities and Exchange Commission’s Investor Advisory Committee, where he served on the Executive Committee and chaired the Market Structure Subcommittee. He holds a bachelor’s degree magna cum laude from Brown University and a law degree magna cum laude from Harvard Law School.</w:t>
      </w:r>
    </w:p>
    <w:p>
      <w:pPr>
        <w:spacing w:after="0" w:line="13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Adam L. Garrard (age 57) </w:t>
      </w:r>
      <w:r>
        <w:rPr>
          <w:rFonts w:ascii="Times New Roman" w:cs="Times New Roman" w:eastAsia="Times New Roman" w:hAnsi="Times New Roman"/>
          <w:sz w:val="18"/>
          <w:szCs w:val="18"/>
          <w:color w:val="auto"/>
        </w:rPr>
        <w:t>- Mr. Garrard has served as Head of Risk and Broking since January 1, 2022. Previously, Mr. Garrard served as Head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Corporate Risk and Broking, and International since August 14, 2019 and, prior to that, as Head of International at WTW since January 4, 2016. Previously, Mr. Garrard served as Chief Executive Officer for Willis Group Holdings in Asia since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5" w:name="page16"/>
    <w:bookmarkEnd w:id="15"/>
    <w:p>
      <w:pPr>
        <w:ind w:right="40"/>
        <w:spacing w:after="0" w:line="260" w:lineRule="auto"/>
        <w:rPr>
          <w:sz w:val="20"/>
          <w:szCs w:val="20"/>
          <w:color w:val="auto"/>
        </w:rPr>
      </w:pPr>
      <w:r>
        <w:rPr>
          <w:rFonts w:ascii="Times New Roman" w:cs="Times New Roman" w:eastAsia="Times New Roman" w:hAnsi="Times New Roman"/>
          <w:sz w:val="18"/>
          <w:szCs w:val="18"/>
          <w:color w:val="auto"/>
        </w:rPr>
        <w:t>September 2012. Prior to that, Mr. Garrard served as Chief Executive Officer for Willis in Europe since January 2009, Chief Executive Officer for Willis in Australasia since May 2005 and Chief Executive Officer for Asia since January 2002. Mr. Garrard has resided in Singapore, Shanghai, Sydney and London while undertaking his Chief Executive Officer roles. Prior to joining WTW in 1994, Mr. Garrard started his insurance career at SBJ Stephenson Insurance Brokers in 1992 as a graduate trainee. He holds a bachelor’s degree in business administration from De Montfort University.</w:t>
      </w:r>
    </w:p>
    <w:p>
      <w:pPr>
        <w:spacing w:after="0" w:line="12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Julie J. Gebauer (age 61) </w:t>
      </w:r>
      <w:r>
        <w:rPr>
          <w:rFonts w:ascii="Times New Roman" w:cs="Times New Roman" w:eastAsia="Times New Roman" w:hAnsi="Times New Roman"/>
          <w:sz w:val="18"/>
          <w:szCs w:val="18"/>
          <w:color w:val="auto"/>
        </w:rPr>
        <w:t>- Ms. Gebauer has served as Head of Health, Wealth and Career at WTW since January 1, 2022. Previously, Ms. Gebauer served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Head of Human Capital &amp; Benefits at WTW since January 4, 2016 and, prior to that, as Managing Director of Towers Watson’s Talent and Rewards business segment since January 1, 2010. Beginning in 2002, Ms. Gebauer served as a Managing Director of Towers Perrin and led Towers Perrin’s global Workforce Effectiveness practice and the global Towers Perrin-International Survey Research Corporation line of business. Ms. Gebauer was a member of Towers Perrin’s Board of Directors from 2003 through 2006. She joined Towers Perrin in 1986 as a consultant and held several leadership positions at Towers Perrin, serving as the Managing Principal for the New York office from 1999 to 2001 and the U.S. East Region Leader for the Human Capital Group from 2002 to 2006. Ms. Gebauer is a Fellow of the Society of Actuaries. Ms. Gebauer graduated Phi Beta Kappa and with high distinction from the University of Nebraska-Lincoln with a bachelor’s degree in mathematics and was designated a Chancellor’s Scholar.</w:t>
      </w:r>
    </w:p>
    <w:p>
      <w:pPr>
        <w:spacing w:after="0" w:line="12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Carl A. Hess (age 61) </w:t>
      </w:r>
      <w:r>
        <w:rPr>
          <w:rFonts w:ascii="Times New Roman" w:cs="Times New Roman" w:eastAsia="Times New Roman" w:hAnsi="Times New Roman"/>
          <w:sz w:val="18"/>
          <w:szCs w:val="18"/>
          <w:color w:val="auto"/>
        </w:rPr>
        <w:t>- Mr. Hess has served as Chief Executive Officer at WTW since January 1, 2022 and, prior to that, served as President since August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16, 2021. Mr. Hess was formerly Head of Investment, Risk and Reinsurance from October 27, 2016 to August 16, 2021. Previously, Mr. Hess served as the Co-Head of North America at WTW since January 4, 2016. Prior to that, Mr. Hess served as Managing Director, The Americas of Towers Watson since February 1, 2014, and before that, he served as the Managing Director of Towers Watson’s Investment business since January 1, 2010. Before his service at Towers Watson, Mr. Hess worked in a variety of roles for over 20 years at Watson Wyatt, lastly as Global Practice Director of Watson Wyatt’s Investment business. Mr. Hess is a Fellow of the Society of Actuaries and the Conference of Consulting Actuaries and a Chartered Enterprise Risk Analyst. He has a bachelor’s degree cum laude in logic and language from Yale University.</w:t>
      </w:r>
    </w:p>
    <w:p>
      <w:pPr>
        <w:spacing w:after="0" w:line="1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Andrew J. Krasner (age 47) </w:t>
      </w:r>
      <w:r>
        <w:rPr>
          <w:rFonts w:ascii="Times New Roman" w:cs="Times New Roman" w:eastAsia="Times New Roman" w:hAnsi="Times New Roman"/>
          <w:sz w:val="18"/>
          <w:szCs w:val="18"/>
          <w:color w:val="auto"/>
        </w:rPr>
        <w:t>- Mr. Krasner has served as Chief Financial Officer at WTW since September 7, 2021. From February 2021 to August 2021,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Krasner served as Chief Financial Officer for Assured Partners. From June 2018 to January 2021, Mr. Krasner was Global Treasurer and Head of M&amp;A of WTW, and from 2012 to June 2018, was Head of M&amp;A, responsible for the Company’s Treasury operations and M&amp;A, joint venture, divestiture, and strategic investment activity. Mr. Krasner started with Legacy Willis in June 2009 as Senior Vice President, working on the client side with Willis Capital Markets &amp; Advisory between June 2009 to June 2012. Prior to joining WTW, Mr. Krasner was a Principal with Banc of America Securities from October 2003 to June 2009, an Associate with Deutsche Bank from July 2002 to October 2003 and a Senior Associate with PricewaterhouseCoopers from August 1997 to August 2000. Mr. Krasner has a B.S. degree in applied economics and business management and an M.B.A. with distinction from Cornell University. He is also a Certified Public Accountant.</w:t>
      </w:r>
    </w:p>
    <w:p>
      <w:pPr>
        <w:spacing w:after="0" w:line="12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Anne Pullum (age 40) </w:t>
      </w:r>
      <w:r>
        <w:rPr>
          <w:rFonts w:ascii="Times New Roman" w:cs="Times New Roman" w:eastAsia="Times New Roman" w:hAnsi="Times New Roman"/>
          <w:sz w:val="18"/>
          <w:szCs w:val="18"/>
          <w:color w:val="auto"/>
        </w:rPr>
        <w:t>- Ms. Pullum has served as Head of Europe at WTW since August 30, 2021 and, prior to that, as Head of Western Europe from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31, 2019 to August 30, 2021. Previously, she served as the Chief Administrative Officer and Head of Strategy and Innovation since October 27, 2016. Beginning on January 4, 2016, Ms. Pullum served as WTW’s Head of Strategy, where she has played a key role in determining the Company’s strategy and worked across all business segments and functional areas. Previously, Ms. Pullum served as the Head of Strategy for Willis Group since May 2014. Before joining Willis, Ms. Pullum worked at McKinsey &amp; Company, where she served financial services and natural resource clients since October 2010. Prior to that, Ms. Pullum conducted economic research at Greenspan Associates in Washington, D.C. and served as an analyst in the Goldman Sachs Equities Division in London. Ms. Pullum holds an M.B.A. from INSEAD and a bachelor’s degree in international economics from Georgetown University’s School of Foreign Service.</w:t>
      </w:r>
    </w:p>
    <w:p>
      <w:pPr>
        <w:spacing w:after="0" w:line="12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Imran Qureshi (age 52) </w:t>
      </w:r>
      <w:r>
        <w:rPr>
          <w:rFonts w:ascii="Times New Roman" w:cs="Times New Roman" w:eastAsia="Times New Roman" w:hAnsi="Times New Roman"/>
          <w:sz w:val="17"/>
          <w:szCs w:val="17"/>
          <w:color w:val="auto"/>
        </w:rPr>
        <w:t>- Mr. Qureshi has served as Head of North America at WTW since August 30, 2021. Prior to that, he served as the Co-Leader,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U.S. from February 2017 to August 30, 2021. He also chaired the North American Inclusion &amp; Diversity Council during this time. He served as Region Leader, U.S. Midwest from February 2017 to October 2019, and was Market Leader, Greater Chicago and Wisconsin from February 2016 to February 2017. Mr. Qureshi was Managing Consultant of the Chicago office from January 2013 to January 2016, and has been with WTW in other roles since March</w:t>
      </w:r>
    </w:p>
    <w:p>
      <w:pPr>
        <w:spacing w:after="0" w:line="2"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17"/>
          <w:szCs w:val="17"/>
          <w:color w:val="auto"/>
        </w:rPr>
        <w:t>1999. Mr. Qureshi is currently a board director at The Executives' Club of Chicago. Previously, he was the board chair of the Human Resources Management Association of Chicago, and he served on the M&amp;A Faculty of WorldatWork where he taught M&amp;A and taught the International Benefits Course for the International Foundation of Employee Benefit Plans. In 2004, Mr. Qureshi was honored by Business Insurance magazine as one of “40 Under 40 People to Watch” in the commercial insurance and risk/benefits management services industries. He also has lectured on governance and globalization at The Kellogg School of Management at Northwestern University and The University of Chicago Booth School of Business. Mr. Qureshi holds a bachelor’s degree in pure mathematics and statistics with honors from the University of Manchester in the U.K. and has an actuarial background.</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16" w:name="page17"/>
    <w:bookmarkEnd w:id="16"/>
    <w:p>
      <w:pPr>
        <w:ind w:right="1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Pamela Thomson-Hall (age 54)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F2C31"/>
        </w:rPr>
        <w:t>Ms. Thomson-Hall has served as the Head of International at WTW since August 30, 2021. Previously, she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F2C31"/>
        </w:rPr>
        <w:t>Head of CEEMEA since July 2018, Managing Director of International since January 2017 and Chief of Staff of International since January 2016. Prior to that, Ms. Thomson-Hall served as Program Director for business integration since September 2014 and before that, as General Counsel of International since April 1999. Prior to joining WTW, Ms. Thomson-Hall worked as a solicitor for Clyde &amp; Co and DLA Piper. Ms. Thomson-Hall holds an LLB from the University College London and completed her LPC at the College of Law.</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75"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A list of the members of the Board of Directors of the Company as of this date of this Annual Report on Form 10-K and their principal occupations are provided below:</w:t>
      </w:r>
    </w:p>
    <w:p>
      <w:pPr>
        <w:spacing w:after="0" w:line="165" w:lineRule="exact"/>
        <w:rPr>
          <w:sz w:val="20"/>
          <w:szCs w:val="20"/>
          <w:color w:val="auto"/>
        </w:rPr>
      </w:pPr>
    </w:p>
    <w:p>
      <w:pPr>
        <w:ind w:left="20"/>
        <w:spacing w:after="0"/>
        <w:tabs>
          <w:tab w:leader="none" w:pos="3620" w:val="left"/>
          <w:tab w:leader="none" w:pos="7380" w:val="left"/>
        </w:tabs>
        <w:rPr>
          <w:sz w:val="20"/>
          <w:szCs w:val="20"/>
          <w:color w:val="auto"/>
        </w:rPr>
      </w:pPr>
      <w:r>
        <w:rPr>
          <w:rFonts w:ascii="Times New Roman" w:cs="Times New Roman" w:eastAsia="Times New Roman" w:hAnsi="Times New Roman"/>
          <w:sz w:val="16"/>
          <w:szCs w:val="16"/>
          <w:b w:val="1"/>
          <w:bCs w:val="1"/>
          <w:color w:val="auto"/>
        </w:rPr>
        <w:t>Carl Hess</w:t>
      </w:r>
      <w:r>
        <w:rPr>
          <w:sz w:val="20"/>
          <w:szCs w:val="20"/>
          <w:color w:val="auto"/>
        </w:rPr>
        <w:tab/>
      </w:r>
      <w:r>
        <w:rPr>
          <w:rFonts w:ascii="Times New Roman" w:cs="Times New Roman" w:eastAsia="Times New Roman" w:hAnsi="Times New Roman"/>
          <w:sz w:val="16"/>
          <w:szCs w:val="16"/>
          <w:b w:val="1"/>
          <w:bCs w:val="1"/>
          <w:color w:val="auto"/>
        </w:rPr>
        <w:t>Dame Inga Beale</w:t>
      </w:r>
      <w:r>
        <w:rPr>
          <w:sz w:val="20"/>
          <w:szCs w:val="20"/>
          <w:color w:val="auto"/>
        </w:rPr>
        <w:tab/>
      </w:r>
      <w:r>
        <w:rPr>
          <w:rFonts w:ascii="Times New Roman" w:cs="Times New Roman" w:eastAsia="Times New Roman" w:hAnsi="Times New Roman"/>
          <w:sz w:val="16"/>
          <w:szCs w:val="16"/>
          <w:b w:val="1"/>
          <w:bCs w:val="1"/>
          <w:color w:val="auto"/>
        </w:rPr>
        <w:t>Fumbi Chima</w:t>
      </w:r>
    </w:p>
    <w:p>
      <w:pPr>
        <w:sectPr>
          <w:pgSz w:w="11900" w:h="16838" w:orient="portrait"/>
          <w:cols w:equalWidth="0" w:num="1">
            <w:col w:w="11240"/>
          </w:cols>
          <w:pgMar w:left="320" w:top="522" w:right="339" w:bottom="1440" w:gutter="0" w:footer="0" w:header="0"/>
        </w:sectPr>
      </w:pPr>
    </w:p>
    <w:p>
      <w:pPr>
        <w:spacing w:after="0" w:line="276" w:lineRule="exact"/>
        <w:rPr>
          <w:sz w:val="20"/>
          <w:szCs w:val="20"/>
          <w:color w:val="auto"/>
        </w:rPr>
      </w:pPr>
    </w:p>
    <w:p>
      <w:pPr>
        <w:ind w:left="20"/>
        <w:spacing w:after="0" w:line="297" w:lineRule="auto"/>
        <w:rPr>
          <w:sz w:val="20"/>
          <w:szCs w:val="20"/>
          <w:color w:val="auto"/>
        </w:rPr>
      </w:pPr>
      <w:r>
        <w:rPr>
          <w:rFonts w:ascii="Times New Roman" w:cs="Times New Roman" w:eastAsia="Times New Roman" w:hAnsi="Times New Roman"/>
          <w:sz w:val="16"/>
          <w:szCs w:val="16"/>
          <w:color w:val="auto"/>
        </w:rPr>
        <w:t>Chief Executive Officer and Board member and CEO since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22263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263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6"/>
          <w:szCs w:val="16"/>
          <w:color w:val="auto"/>
        </w:rPr>
        <w:t>Former CEO of Lloyd’s of London and Board member since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-288290</wp:posOffset>
            </wp:positionV>
            <wp:extent cx="23120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120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Executive Vice President and Chief Information Officer of Boeing Employees’ Credit Union and Board member since April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-408305</wp:posOffset>
            </wp:positionV>
            <wp:extent cx="24485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485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500" w:space="140"/>
            <w:col w:w="3560" w:space="200"/>
            <w:col w:w="3840"/>
          </w:cols>
          <w:pgMar w:left="320" w:top="522" w:right="339" w:bottom="1440" w:gutter="0" w:footer="0" w:header="0"/>
          <w:type w:val="continuous"/>
        </w:sectPr>
      </w:pP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Michael Hammond</w:t>
      </w:r>
    </w:p>
    <w:p>
      <w:pPr>
        <w:spacing w:after="0" w:line="276" w:lineRule="exact"/>
        <w:rPr>
          <w:sz w:val="20"/>
          <w:szCs w:val="20"/>
          <w:color w:val="auto"/>
        </w:rPr>
      </w:pPr>
    </w:p>
    <w:p>
      <w:pPr>
        <w:ind w:left="20"/>
        <w:spacing w:after="0" w:line="280" w:lineRule="auto"/>
        <w:rPr>
          <w:sz w:val="20"/>
          <w:szCs w:val="20"/>
          <w:color w:val="auto"/>
        </w:rPr>
      </w:pPr>
      <w:r>
        <w:rPr>
          <w:rFonts w:ascii="Times New Roman" w:cs="Times New Roman" w:eastAsia="Times New Roman" w:hAnsi="Times New Roman"/>
          <w:sz w:val="16"/>
          <w:szCs w:val="16"/>
          <w:color w:val="auto"/>
        </w:rPr>
        <w:t>Former CEO and Chair, Lockton International Holdings Ltd. and Board member since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22263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263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3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Brendan O’Neill*</w:t>
            </w:r>
          </w:p>
        </w:tc>
        <w:tc>
          <w:tcPr>
            <w:tcW w:w="10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Linda Rabbitt*</w:t>
            </w:r>
          </w:p>
        </w:tc>
        <w:tc>
          <w:tcPr>
            <w:tcW w:w="0" w:type="dxa"/>
            <w:vAlign w:val="bottom"/>
          </w:tcPr>
          <w:p>
            <w:pPr>
              <w:spacing w:after="0"/>
              <w:rPr>
                <w:sz w:val="1"/>
                <w:szCs w:val="1"/>
                <w:color w:val="auto"/>
              </w:rPr>
            </w:pPr>
          </w:p>
        </w:tc>
      </w:tr>
      <w:tr>
        <w:trPr>
          <w:trHeight w:val="249"/>
        </w:trPr>
        <w:tc>
          <w:tcPr>
            <w:tcW w:w="3640" w:type="dxa"/>
            <w:vAlign w:val="bottom"/>
            <w:tcBorders>
              <w:bottom w:val="single" w:sz="8" w:color="auto"/>
            </w:tcBorders>
          </w:tcPr>
          <w:p>
            <w:pPr>
              <w:spacing w:after="0"/>
              <w:rPr>
                <w:sz w:val="21"/>
                <w:szCs w:val="21"/>
                <w:color w:val="auto"/>
              </w:rPr>
            </w:pPr>
          </w:p>
        </w:tc>
        <w:tc>
          <w:tcPr>
            <w:tcW w:w="100" w:type="dxa"/>
            <w:vAlign w:val="bottom"/>
            <w:vMerge w:val="restart"/>
          </w:tcPr>
          <w:p>
            <w:pPr>
              <w:spacing w:after="0"/>
              <w:rPr>
                <w:sz w:val="21"/>
                <w:szCs w:val="21"/>
                <w:color w:val="auto"/>
              </w:rPr>
            </w:pPr>
          </w:p>
        </w:tc>
        <w:tc>
          <w:tcPr>
            <w:tcW w:w="3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36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Former CEO of Imperial Chemical Industries PLC and</w:t>
            </w:r>
          </w:p>
        </w:tc>
        <w:tc>
          <w:tcPr>
            <w:tcW w:w="100" w:type="dxa"/>
            <w:vAlign w:val="bottom"/>
            <w:vMerge w:val="continue"/>
          </w:tcPr>
          <w:p>
            <w:pPr>
              <w:spacing w:after="0"/>
              <w:rPr>
                <w:sz w:val="15"/>
                <w:szCs w:val="15"/>
                <w:color w:val="auto"/>
              </w:rPr>
            </w:pPr>
          </w:p>
        </w:tc>
        <w:tc>
          <w:tcPr>
            <w:tcW w:w="386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Founder and Chair of Rand Construction Corporation and</w:t>
            </w:r>
          </w:p>
        </w:tc>
        <w:tc>
          <w:tcPr>
            <w:tcW w:w="0" w:type="dxa"/>
            <w:vAlign w:val="bottom"/>
          </w:tcPr>
          <w:p>
            <w:pPr>
              <w:spacing w:after="0"/>
              <w:rPr>
                <w:sz w:val="1"/>
                <w:szCs w:val="1"/>
                <w:color w:val="auto"/>
              </w:rPr>
            </w:pPr>
          </w:p>
        </w:tc>
      </w:tr>
      <w:tr>
        <w:trPr>
          <w:trHeight w:val="210"/>
        </w:trPr>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Board member since January 4, 2016</w:t>
            </w:r>
          </w:p>
        </w:tc>
        <w:tc>
          <w:tcPr>
            <w:tcW w:w="10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Board member since January 4, 2016</w:t>
            </w:r>
          </w:p>
        </w:tc>
        <w:tc>
          <w:tcPr>
            <w:tcW w:w="0" w:type="dxa"/>
            <w:vAlign w:val="bottom"/>
          </w:tcPr>
          <w:p>
            <w:pPr>
              <w:spacing w:after="0"/>
              <w:rPr>
                <w:sz w:val="1"/>
                <w:szCs w:val="1"/>
                <w:color w:val="auto"/>
              </w:rPr>
            </w:pPr>
          </w:p>
        </w:tc>
      </w:tr>
    </w:tbl>
    <w:p>
      <w:pPr>
        <w:spacing w:after="0" w:line="431" w:lineRule="exact"/>
        <w:rPr>
          <w:sz w:val="20"/>
          <w:szCs w:val="20"/>
          <w:color w:val="auto"/>
        </w:rPr>
      </w:pPr>
    </w:p>
    <w:p>
      <w:pPr>
        <w:sectPr>
          <w:pgSz w:w="11900" w:h="16838" w:orient="portrait"/>
          <w:cols w:equalWidth="0" w:num="2">
            <w:col w:w="3280" w:space="360"/>
            <w:col w:w="7600"/>
          </w:cols>
          <w:pgMar w:left="320" w:top="522" w:right="339" w:bottom="1440" w:gutter="0" w:footer="0" w:header="0"/>
          <w:type w:val="continuous"/>
        </w:sect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Paul Reilly</w:t>
            </w:r>
          </w:p>
        </w:tc>
        <w:tc>
          <w:tcPr>
            <w:tcW w:w="1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Michelle Swanback</w:t>
            </w:r>
          </w:p>
        </w:tc>
        <w:tc>
          <w:tcPr>
            <w:tcW w:w="0" w:type="dxa"/>
            <w:vAlign w:val="bottom"/>
          </w:tcPr>
          <w:p>
            <w:pPr>
              <w:spacing w:after="0"/>
              <w:rPr>
                <w:sz w:val="1"/>
                <w:szCs w:val="1"/>
                <w:color w:val="auto"/>
              </w:rPr>
            </w:pPr>
          </w:p>
        </w:tc>
      </w:tr>
      <w:tr>
        <w:trPr>
          <w:trHeight w:val="249"/>
        </w:trPr>
        <w:tc>
          <w:tcPr>
            <w:tcW w:w="3520" w:type="dxa"/>
            <w:vAlign w:val="bottom"/>
            <w:tcBorders>
              <w:bottom w:val="single" w:sz="8" w:color="auto"/>
            </w:tcBorders>
          </w:tcPr>
          <w:p>
            <w:pPr>
              <w:spacing w:after="0"/>
              <w:rPr>
                <w:sz w:val="21"/>
                <w:szCs w:val="21"/>
                <w:color w:val="auto"/>
              </w:rPr>
            </w:pPr>
          </w:p>
        </w:tc>
        <w:tc>
          <w:tcPr>
            <w:tcW w:w="120" w:type="dxa"/>
            <w:vAlign w:val="bottom"/>
            <w:vMerge w:val="restart"/>
          </w:tcPr>
          <w:p>
            <w:pPr>
              <w:spacing w:after="0"/>
              <w:rPr>
                <w:sz w:val="21"/>
                <w:szCs w:val="21"/>
                <w:color w:val="auto"/>
              </w:rPr>
            </w:pPr>
          </w:p>
        </w:tc>
        <w:tc>
          <w:tcPr>
            <w:tcW w:w="36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352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Chief Executive Officer and Chair of the board of</w:t>
            </w:r>
          </w:p>
        </w:tc>
        <w:tc>
          <w:tcPr>
            <w:tcW w:w="120" w:type="dxa"/>
            <w:vAlign w:val="bottom"/>
            <w:vMerge w:val="continue"/>
          </w:tcPr>
          <w:p>
            <w:pPr>
              <w:spacing w:after="0"/>
              <w:rPr>
                <w:sz w:val="15"/>
                <w:szCs w:val="15"/>
                <w:color w:val="auto"/>
              </w:rPr>
            </w:pPr>
          </w:p>
        </w:tc>
        <w:tc>
          <w:tcPr>
            <w:tcW w:w="36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Chief Executive Officer, TTEC Engage and Board</w:t>
            </w:r>
          </w:p>
        </w:tc>
        <w:tc>
          <w:tcPr>
            <w:tcW w:w="0" w:type="dxa"/>
            <w:vAlign w:val="bottom"/>
          </w:tcPr>
          <w:p>
            <w:pPr>
              <w:spacing w:after="0"/>
              <w:rPr>
                <w:sz w:val="1"/>
                <w:szCs w:val="1"/>
                <w:color w:val="auto"/>
              </w:rPr>
            </w:pPr>
          </w:p>
        </w:tc>
      </w:tr>
      <w:tr>
        <w:trPr>
          <w:trHeight w:val="202"/>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Raymond James Financial and Board member since</w:t>
            </w:r>
          </w:p>
        </w:tc>
        <w:tc>
          <w:tcPr>
            <w:tcW w:w="12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member since January 1, 2022</w:t>
            </w:r>
          </w:p>
        </w:tc>
        <w:tc>
          <w:tcPr>
            <w:tcW w:w="0" w:type="dxa"/>
            <w:vAlign w:val="bottom"/>
          </w:tcPr>
          <w:p>
            <w:pPr>
              <w:spacing w:after="0"/>
              <w:rPr>
                <w:sz w:val="1"/>
                <w:szCs w:val="1"/>
                <w:color w:val="auto"/>
              </w:rPr>
            </w:pPr>
          </w:p>
        </w:tc>
      </w:tr>
      <w:tr>
        <w:trPr>
          <w:trHeight w:val="210"/>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October 1, 2022</w:t>
            </w:r>
          </w:p>
        </w:tc>
        <w:tc>
          <w:tcPr>
            <w:tcW w:w="1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Paul Thomas</w:t>
      </w:r>
    </w:p>
    <w:p>
      <w:pPr>
        <w:spacing w:after="0" w:line="276" w:lineRule="exact"/>
        <w:rPr>
          <w:sz w:val="20"/>
          <w:szCs w:val="20"/>
          <w:color w:val="auto"/>
        </w:rPr>
      </w:pPr>
    </w:p>
    <w:p>
      <w:pPr>
        <w:ind w:right="300"/>
        <w:spacing w:after="0" w:line="297" w:lineRule="auto"/>
        <w:rPr>
          <w:sz w:val="20"/>
          <w:szCs w:val="20"/>
          <w:color w:val="auto"/>
        </w:rPr>
      </w:pPr>
      <w:r>
        <w:rPr>
          <w:rFonts w:ascii="Times New Roman" w:cs="Times New Roman" w:eastAsia="Times New Roman" w:hAnsi="Times New Roman"/>
          <w:sz w:val="16"/>
          <w:szCs w:val="16"/>
          <w:color w:val="auto"/>
        </w:rPr>
        <w:t>Former CEO of Reynolds Packaging Group and Board member since January 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-288290</wp:posOffset>
            </wp:positionV>
            <wp:extent cx="24485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48560" cy="8255"/>
                    </a:xfrm>
                    <a:prstGeom prst="rect">
                      <a:avLst/>
                    </a:prstGeom>
                    <a:noFill/>
                  </pic:spPr>
                </pic:pic>
              </a:graphicData>
            </a:graphic>
          </wp:anchor>
        </w:drawing>
      </w:r>
    </w:p>
    <w:p>
      <w:pPr>
        <w:spacing w:after="0" w:line="359" w:lineRule="exact"/>
        <w:rPr>
          <w:sz w:val="20"/>
          <w:szCs w:val="20"/>
          <w:color w:val="auto"/>
        </w:rPr>
      </w:pPr>
    </w:p>
    <w:p>
      <w:pPr>
        <w:sectPr>
          <w:pgSz w:w="11900" w:h="16838" w:orient="portrait"/>
          <w:cols w:equalWidth="0" w:num="2">
            <w:col w:w="7280" w:space="120"/>
            <w:col w:w="3840"/>
          </w:cols>
          <w:pgMar w:left="320" w:top="522" w:right="33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*Not standing for reelection at the Company’s upcoming annual general meeting of shareholders to be held in the second quarter of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1, 2023, the following persons will join the Board of Directors of the Company:</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Stephen Chipman</w:t>
            </w:r>
          </w:p>
        </w:tc>
        <w:tc>
          <w:tcPr>
            <w:tcW w:w="120" w:type="dxa"/>
            <w:vAlign w:val="bottom"/>
          </w:tcPr>
          <w:p>
            <w:pPr>
              <w:spacing w:after="0"/>
              <w:rPr>
                <w:sz w:val="19"/>
                <w:szCs w:val="19"/>
                <w:color w:val="auto"/>
              </w:rPr>
            </w:pPr>
          </w:p>
        </w:tc>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Jackie Hunt</w:t>
            </w:r>
          </w:p>
        </w:tc>
        <w:tc>
          <w:tcPr>
            <w:tcW w:w="120" w:type="dxa"/>
            <w:vAlign w:val="bottom"/>
          </w:tcPr>
          <w:p>
            <w:pPr>
              <w:spacing w:after="0"/>
              <w:rPr>
                <w:sz w:val="19"/>
                <w:szCs w:val="19"/>
                <w:color w:val="auto"/>
              </w:rPr>
            </w:pP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Fredric Tomczyk</w:t>
            </w:r>
          </w:p>
        </w:tc>
      </w:tr>
      <w:tr>
        <w:trPr>
          <w:trHeight w:val="188"/>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Former CEO of Grant Thornton U.S.</w:t>
            </w:r>
          </w:p>
        </w:tc>
        <w:tc>
          <w:tcPr>
            <w:tcW w:w="120" w:type="dxa"/>
            <w:vAlign w:val="bottom"/>
          </w:tcPr>
          <w:p>
            <w:pPr>
              <w:spacing w:after="0"/>
              <w:rPr>
                <w:sz w:val="16"/>
                <w:szCs w:val="16"/>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Former executive director of Prudential plc and CEO of</w:t>
            </w:r>
          </w:p>
        </w:tc>
        <w:tc>
          <w:tcPr>
            <w:tcW w:w="120" w:type="dxa"/>
            <w:vAlign w:val="bottom"/>
          </w:tcPr>
          <w:p>
            <w:pPr>
              <w:spacing w:after="0"/>
              <w:rPr>
                <w:sz w:val="16"/>
                <w:szCs w:val="16"/>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Former President and CEO of TD Ameritrade</w:t>
            </w:r>
          </w:p>
        </w:tc>
      </w:t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Prudential UK, Europe and Africa</w:t>
            </w:r>
          </w:p>
        </w:tc>
        <w:tc>
          <w:tcPr>
            <w:tcW w:w="120" w:type="dxa"/>
            <w:vAlign w:val="bottom"/>
          </w:tcPr>
          <w:p>
            <w:pPr>
              <w:spacing w:after="0"/>
              <w:rPr>
                <w:sz w:val="18"/>
                <w:szCs w:val="18"/>
                <w:color w:val="auto"/>
              </w:rPr>
            </w:pPr>
          </w:p>
        </w:tc>
        <w:tc>
          <w:tcPr>
            <w:tcW w:w="38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Summary of Risk Factors</w:t>
      </w:r>
    </w:p>
    <w:p>
      <w:pPr>
        <w:spacing w:after="0" w:line="175" w:lineRule="exact"/>
        <w:rPr>
          <w:sz w:val="20"/>
          <w:szCs w:val="20"/>
          <w:color w:val="auto"/>
        </w:rPr>
      </w:pPr>
    </w:p>
    <w:p>
      <w:pPr>
        <w:ind w:right="700"/>
        <w:spacing w:after="0" w:line="281" w:lineRule="auto"/>
        <w:rPr>
          <w:sz w:val="20"/>
          <w:szCs w:val="20"/>
          <w:color w:val="auto"/>
        </w:rPr>
      </w:pPr>
      <w:r>
        <w:rPr>
          <w:rFonts w:ascii="Times New Roman" w:cs="Times New Roman" w:eastAsia="Times New Roman" w:hAnsi="Times New Roman"/>
          <w:sz w:val="18"/>
          <w:szCs w:val="18"/>
          <w:color w:val="auto"/>
        </w:rPr>
        <w:t>The following contains a summary of each of our risk factors. For the complete disclosure of each risk factor contained herein, please click on the respective summary.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Strategic and Operational Transformation Risks</w:t>
      </w:r>
    </w:p>
    <w:p>
      <w:pPr>
        <w:spacing w:after="0" w:line="53" w:lineRule="exact"/>
        <w:rPr>
          <w:sz w:val="20"/>
          <w:szCs w:val="20"/>
          <w:color w:val="auto"/>
        </w:rPr>
      </w:pPr>
    </w:p>
    <w:p>
      <w:pPr>
        <w:ind w:left="760" w:right="80" w:hanging="378"/>
        <w:spacing w:after="0" w:line="265"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Our success largely depends on our ability to achieve our global business strategy as it evolves, and our results of operations and financial condition could suffer if the Company were unable to successfully establish and execute on its strategy and generate anticipated revenue growth and cost savings and efficiencies.</w:t>
      </w:r>
    </w:p>
    <w:p>
      <w:pPr>
        <w:spacing w:after="0" w:line="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We may not be able to fully realize the anticipated benefits of our growth strategy.</w:t>
      </w:r>
    </w:p>
    <w:p>
      <w:pPr>
        <w:spacing w:after="0" w:line="35" w:lineRule="exact"/>
        <w:rPr>
          <w:rFonts w:ascii="Times New Roman" w:cs="Times New Roman" w:eastAsia="Times New Roman" w:hAnsi="Times New Roman"/>
          <w:sz w:val="18"/>
          <w:szCs w:val="18"/>
          <w:color w:val="auto"/>
        </w:rPr>
      </w:pPr>
    </w:p>
    <w:p>
      <w:pPr>
        <w:ind w:left="760" w:right="120" w:hanging="378"/>
        <w:spacing w:after="0" w:line="273"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Our ability to successfully manage ongoing organizational changes could impact our business results, where the level of costs and/or disruption may be significant and change over time, and the benefits may be less than we originally expect.</w:t>
      </w:r>
    </w:p>
    <w:p>
      <w:pPr>
        <w:spacing w:after="0" w:line="1" w:lineRule="exact"/>
        <w:rPr>
          <w:rFonts w:ascii="Times New Roman" w:cs="Times New Roman" w:eastAsia="Times New Roman" w:hAnsi="Times New Roman"/>
          <w:sz w:val="18"/>
          <w:szCs w:val="18"/>
          <w:color w:val="auto"/>
        </w:rPr>
      </w:pPr>
    </w:p>
    <w:p>
      <w:pPr>
        <w:ind w:left="760" w:hanging="378"/>
        <w:spacing w:after="0" w:line="265"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Our growth strategy depends, in part, on our ability to make acquisitions. We face risks when we acquire or divest businesses, and we could have difficulty in acquiring, integrating or managing acquired businesses, or with effecting internal reorganizations, all of which could harm our business, financial condition, results of operations or reputation.</w:t>
      </w:r>
    </w:p>
    <w:p>
      <w:pPr>
        <w:spacing w:after="0" w:line="2" w:lineRule="exact"/>
        <w:rPr>
          <w:rFonts w:ascii="Times New Roman" w:cs="Times New Roman" w:eastAsia="Times New Roman" w:hAnsi="Times New Roman"/>
          <w:sz w:val="18"/>
          <w:szCs w:val="18"/>
          <w:color w:val="auto"/>
        </w:rPr>
      </w:pPr>
    </w:p>
    <w:p>
      <w:pPr>
        <w:ind w:left="760" w:right="280" w:hanging="378"/>
        <w:spacing w:after="0" w:line="265"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The sale of Willis Re to Gallagher, including transitional arrangements, creates incremental business, operational, regulatory and reputational risks.</w:t>
      </w:r>
    </w:p>
    <w:p>
      <w:pPr>
        <w:spacing w:after="0" w:line="1" w:lineRule="exact"/>
        <w:rPr>
          <w:rFonts w:ascii="Times New Roman" w:cs="Times New Roman" w:eastAsia="Times New Roman" w:hAnsi="Times New Roman"/>
          <w:sz w:val="18"/>
          <w:szCs w:val="18"/>
          <w:color w:val="auto"/>
        </w:rPr>
      </w:pPr>
    </w:p>
    <w:p>
      <w:pPr>
        <w:ind w:left="760" w:right="80" w:hanging="378"/>
        <w:spacing w:after="0" w:line="265"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Our business performance and growth plans could be negatively affected if we are not able to effectively apply technology, data and analytics to drive value for our clients through technology-based solutions or gain internal efficiencies through the effective application of technology, analytics and related tools.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-1929765</wp:posOffset>
            </wp:positionV>
            <wp:extent cx="63296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2968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-1793240</wp:posOffset>
            </wp:positionV>
            <wp:extent cx="66052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0527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-1656080</wp:posOffset>
            </wp:positionV>
            <wp:extent cx="15220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2209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-1493520</wp:posOffset>
            </wp:positionV>
            <wp:extent cx="37509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75094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-1339215</wp:posOffset>
            </wp:positionV>
            <wp:extent cx="65805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8050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-1202055</wp:posOffset>
            </wp:positionV>
            <wp:extent cx="44049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40499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-1039495</wp:posOffset>
            </wp:positionV>
            <wp:extent cx="66554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5543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-902335</wp:posOffset>
            </wp:positionV>
            <wp:extent cx="63633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6333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-765810</wp:posOffset>
            </wp:positionV>
            <wp:extent cx="29286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92862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-602615</wp:posOffset>
            </wp:positionV>
            <wp:extent cx="64776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7763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-466090</wp:posOffset>
            </wp:positionV>
            <wp:extent cx="2438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384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-311785</wp:posOffset>
            </wp:positionV>
            <wp:extent cx="66109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1098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-174625</wp:posOffset>
            </wp:positionV>
            <wp:extent cx="63360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3603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-38100</wp:posOffset>
            </wp:positionV>
            <wp:extent cx="12166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1666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Environment Risks</w:t>
      </w:r>
    </w:p>
    <w:p>
      <w:pPr>
        <w:spacing w:after="0" w:line="53" w:lineRule="exact"/>
        <w:rPr>
          <w:sz w:val="20"/>
          <w:szCs w:val="20"/>
          <w:color w:val="auto"/>
        </w:rPr>
      </w:pPr>
    </w:p>
    <w:p>
      <w:pPr>
        <w:ind w:left="760" w:right="300" w:hanging="378"/>
        <w:spacing w:after="0" w:line="273"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Demand for our services could decrease for various reasons, including a general economic downturn, increased competition, or a decline in a client’s or an industry’s financial condition or prospects, all of which could substantially and negatively affect us.</w:t>
      </w:r>
    </w:p>
    <w:p>
      <w:pPr>
        <w:spacing w:after="0" w:line="1" w:lineRule="exact"/>
        <w:rPr>
          <w:rFonts w:ascii="Times New Roman" w:cs="Times New Roman" w:eastAsia="Times New Roman" w:hAnsi="Times New Roman"/>
          <w:sz w:val="18"/>
          <w:szCs w:val="18"/>
          <w:color w:val="auto"/>
        </w:rPr>
      </w:pPr>
    </w:p>
    <w:p>
      <w:pPr>
        <w:jc w:val="both"/>
        <w:ind w:left="760" w:right="500" w:hanging="378"/>
        <w:spacing w:after="0" w:line="260"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Our business, financial condition, results of operations, and long-term goals may continue to be adversely affected, possibly materially, by negative impacts on the global economy and capital markets resulting from the war between Russia and Ukraine or any other geopolitical tensions.</w:t>
      </w:r>
    </w:p>
    <w:p>
      <w:pPr>
        <w:spacing w:after="0" w:line="1" w:lineRule="exact"/>
        <w:rPr>
          <w:rFonts w:ascii="Times New Roman" w:cs="Times New Roman" w:eastAsia="Times New Roman" w:hAnsi="Times New Roman"/>
          <w:sz w:val="18"/>
          <w:szCs w:val="18"/>
          <w:color w:val="auto"/>
        </w:rPr>
      </w:pPr>
    </w:p>
    <w:p>
      <w:pPr>
        <w:ind w:left="760" w:right="80" w:hanging="378"/>
        <w:spacing w:after="0" w:line="273"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We have been impacted by the COVID-19 pandemic and may be substantially and negatively impacted by COVID-19 or other pandemics in the future.</w:t>
      </w:r>
    </w:p>
    <w:p>
      <w:pPr>
        <w:spacing w:after="0" w:line="1" w:lineRule="exact"/>
        <w:rPr>
          <w:rFonts w:ascii="Times New Roman" w:cs="Times New Roman" w:eastAsia="Times New Roman" w:hAnsi="Times New Roman"/>
          <w:sz w:val="18"/>
          <w:szCs w:val="18"/>
          <w:color w:val="auto"/>
        </w:rPr>
      </w:pPr>
    </w:p>
    <w:p>
      <w:pPr>
        <w:ind w:left="760" w:right="280" w:hanging="378"/>
        <w:spacing w:after="0" w:line="273"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Damage to our reputation, including due to the failure of third parties on whom we rely to perform services or public opinions of third parties with whom we associate, could adversely affect our businesses.</w:t>
      </w:r>
    </w:p>
    <w:p>
      <w:pPr>
        <w:spacing w:after="0" w:line="1" w:lineRule="exact"/>
        <w:rPr>
          <w:rFonts w:ascii="Times New Roman" w:cs="Times New Roman" w:eastAsia="Times New Roman" w:hAnsi="Times New Roman"/>
          <w:sz w:val="18"/>
          <w:szCs w:val="18"/>
          <w:color w:val="auto"/>
        </w:rPr>
      </w:pPr>
    </w:p>
    <w:p>
      <w:pPr>
        <w:ind w:left="760" w:right="80" w:hanging="378"/>
        <w:spacing w:after="0" w:line="265"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Our business may be harmed by any negative developments that may occur in the insurance industry or if we fail to maintain good relationships with insurance carriers.</w:t>
      </w:r>
    </w:p>
    <w:p>
      <w:pPr>
        <w:spacing w:after="0" w:line="1" w:lineRule="exact"/>
        <w:rPr>
          <w:rFonts w:ascii="Times New Roman" w:cs="Times New Roman" w:eastAsia="Times New Roman" w:hAnsi="Times New Roman"/>
          <w:sz w:val="18"/>
          <w:szCs w:val="18"/>
          <w:color w:val="auto"/>
        </w:rPr>
      </w:pPr>
    </w:p>
    <w:p>
      <w:pPr>
        <w:ind w:left="760" w:right="160" w:hanging="378"/>
        <w:spacing w:after="0" w:line="279"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Macroeconomic trends, including inflation, increased interest rates and trade policies could continue to adversely affect our business, results of operations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-1800225</wp:posOffset>
            </wp:positionV>
            <wp:extent cx="647065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7065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-1663065</wp:posOffset>
            </wp:positionV>
            <wp:extent cx="51701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7017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-1500505</wp:posOffset>
            </wp:positionV>
            <wp:extent cx="63417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4174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-1363345</wp:posOffset>
            </wp:positionV>
            <wp:extent cx="63093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-1226820</wp:posOffset>
            </wp:positionV>
            <wp:extent cx="4025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0259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-1072515</wp:posOffset>
            </wp:positionV>
            <wp:extent cx="6614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1416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-935355</wp:posOffset>
            </wp:positionV>
            <wp:extent cx="3009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0099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-772795</wp:posOffset>
            </wp:positionV>
            <wp:extent cx="648398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8398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-635635</wp:posOffset>
            </wp:positionV>
            <wp:extent cx="29006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90068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-473075</wp:posOffset>
            </wp:positionV>
            <wp:extent cx="66046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0463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-335915</wp:posOffset>
            </wp:positionV>
            <wp:extent cx="10680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6807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-182245</wp:posOffset>
            </wp:positionV>
            <wp:extent cx="65576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-45085</wp:posOffset>
            </wp:positionV>
            <wp:extent cx="15144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1447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Human Capital Risks</w:t>
      </w:r>
    </w:p>
    <w:p>
      <w:pPr>
        <w:spacing w:after="0" w:line="53" w:lineRule="exact"/>
        <w:rPr>
          <w:sz w:val="20"/>
          <w:szCs w:val="20"/>
          <w:color w:val="auto"/>
        </w:rPr>
      </w:pPr>
    </w:p>
    <w:p>
      <w:pPr>
        <w:ind w:left="760" w:right="60" w:hanging="378"/>
        <w:spacing w:after="0" w:line="273"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We depend on the continued services of our executive officers, senior management team, and skilled individual contributors, and any changes in our management structure and in senior leadership could affect our business and financial results.</w:t>
      </w:r>
    </w:p>
    <w:p>
      <w:pPr>
        <w:spacing w:after="0" w:line="1" w:lineRule="exact"/>
        <w:rPr>
          <w:rFonts w:ascii="Times New Roman" w:cs="Times New Roman" w:eastAsia="Times New Roman" w:hAnsi="Times New Roman"/>
          <w:sz w:val="18"/>
          <w:szCs w:val="18"/>
          <w:color w:val="auto"/>
        </w:rPr>
      </w:pPr>
    </w:p>
    <w:p>
      <w:pPr>
        <w:ind w:left="760" w:right="420" w:hanging="378"/>
        <w:spacing w:after="0" w:line="265"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The loss of key colleagues or a large number of colleagues could damage or result in the loss of client relationships and could result in such colleagues competing against us.</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Failure to maintain our corporate culture, including in a remote or hybrid work environment, could damage our reputation.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-598805</wp:posOffset>
            </wp:positionV>
            <wp:extent cx="66179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1797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-461645</wp:posOffset>
            </wp:positionV>
            <wp:extent cx="44469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44690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-299085</wp:posOffset>
            </wp:positionV>
            <wp:extent cx="63995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9953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-161925</wp:posOffset>
            </wp:positionV>
            <wp:extent cx="15024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0241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-7620</wp:posOffset>
            </wp:positionV>
            <wp:extent cx="55968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96890"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Intellectual Property, Technology, Cybersecurity and Data Protection Risks</w:t>
      </w:r>
    </w:p>
    <w:p>
      <w:pPr>
        <w:spacing w:after="0" w:line="67" w:lineRule="exact"/>
        <w:rPr>
          <w:sz w:val="20"/>
          <w:szCs w:val="20"/>
          <w:color w:val="auto"/>
        </w:rPr>
      </w:pPr>
    </w:p>
    <w:p>
      <w:pPr>
        <w:ind w:left="760" w:right="660" w:hanging="378"/>
        <w:spacing w:after="0" w:line="281"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Data and cyber security breaches or improper disclosure of confidential company or personal data could result in material financial loss, regulatory actions, reputational harm, and/or legal liability.</w:t>
      </w:r>
    </w:p>
    <w:p>
      <w:pPr>
        <w:ind w:left="760" w:right="560" w:hanging="378"/>
        <w:spacing w:after="0" w:line="281"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Our inability to comply with complex and evolving laws and regulations related to data privacy and cybersecurity could result in material financial loss, regulatory actions, reputational harm and/or legal liability.</w:t>
      </w:r>
    </w:p>
    <w:p>
      <w:pPr>
        <w:ind w:left="760" w:right="360" w:hanging="378"/>
        <w:spacing w:after="0" w:line="281"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Our inability to successfully mitigate and recover should we experience a disaster or other business continuity problem could cause material financial loss, loss of human capital, regulatory actions, reputational harm, and/or legal liability.</w:t>
      </w:r>
    </w:p>
    <w:p>
      <w:pPr>
        <w:ind w:left="760" w:right="700" w:hanging="378"/>
        <w:spacing w:after="0" w:line="297" w:lineRule="auto"/>
        <w:tabs>
          <w:tab w:leader="none" w:pos="7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Material interruption to or loss of our information processing capabilities or failure to effectively maintain and upgrade our information processing hardware or systems could cause material financial loss, regulatory actions, reputational harm, and/or legal liability.</w:t>
      </w:r>
    </w:p>
    <w:p>
      <w:pPr>
        <w:spacing w:after="0" w:line="1" w:lineRule="exact"/>
        <w:rPr>
          <w:rFonts w:ascii="Times New Roman" w:cs="Times New Roman" w:eastAsia="Times New Roman" w:hAnsi="Times New Roman"/>
          <w:sz w:val="17"/>
          <w:szCs w:val="17"/>
          <w:color w:val="auto"/>
        </w:rPr>
      </w:pPr>
    </w:p>
    <w:p>
      <w:pPr>
        <w:ind w:left="760" w:right="480" w:hanging="378"/>
        <w:spacing w:after="0" w:line="281"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Limited protection of our intellectual property could harm our business and our ability to compete effectively, and we face the risk that our services or products may infringe upon the intellectual property rights of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-1417320</wp:posOffset>
            </wp:positionV>
            <wp:extent cx="62458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4586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-1280160</wp:posOffset>
            </wp:positionV>
            <wp:extent cx="26892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8922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-1108710</wp:posOffset>
            </wp:positionV>
            <wp:extent cx="63093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-972185</wp:posOffset>
            </wp:positionV>
            <wp:extent cx="33229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2295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-800735</wp:posOffset>
            </wp:positionV>
            <wp:extent cx="642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2683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-663575</wp:posOffset>
            </wp:positionV>
            <wp:extent cx="43815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38150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-492125</wp:posOffset>
            </wp:positionV>
            <wp:extent cx="621220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1220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-355600</wp:posOffset>
            </wp:positionV>
            <wp:extent cx="58013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0136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-184150</wp:posOffset>
            </wp:positionV>
            <wp:extent cx="6360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6016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-46990</wp:posOffset>
            </wp:positionV>
            <wp:extent cx="36506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650615" cy="8255"/>
                    </a:xfrm>
                    <a:prstGeom prst="rect">
                      <a:avLst/>
                    </a:prstGeom>
                    <a:noFill/>
                  </pic:spPr>
                </pic:pic>
              </a:graphicData>
            </a:graphic>
          </wp:anchor>
        </w:drawing>
      </w:r>
    </w:p>
    <w:p>
      <w:pPr>
        <w:spacing w:after="0" w:line="1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Non-Financial/Regulatory and Compliance Risks</w:t>
      </w:r>
    </w:p>
    <w:p>
      <w:pPr>
        <w:spacing w:after="0" w:line="67" w:lineRule="exact"/>
        <w:rPr>
          <w:sz w:val="20"/>
          <w:szCs w:val="20"/>
          <w:color w:val="auto"/>
        </w:rPr>
      </w:pPr>
    </w:p>
    <w:p>
      <w:pPr>
        <w:ind w:left="760" w:right="320" w:hanging="378"/>
        <w:spacing w:after="0" w:line="281"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From time to time, we receive claims and are party to lawsuits arising from our work, which could materially adversely affect our reputation, business and financial condition.</w:t>
      </w:r>
    </w:p>
    <w:p>
      <w:pPr>
        <w:ind w:left="760" w:right="60" w:hanging="378"/>
        <w:spacing w:after="0" w:line="281"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As a highly regulated company, we are subject from time to time to inquiries or investigations by governmental agencies or regulators that could have a material adverse effect on our business or results of operations.</w:t>
      </w:r>
    </w:p>
    <w:p>
      <w:pPr>
        <w:ind w:left="760" w:right="280" w:hanging="378"/>
        <w:spacing w:after="0" w:line="281"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In conducting our businesses around the world, we are subject to political, economic, legal, regulatory, cultural, market, operational and other risks that are inherent in operating in many countries.</w:t>
      </w:r>
    </w:p>
    <w:p>
      <w:pPr>
        <w:ind w:left="760" w:right="680" w:hanging="378"/>
        <w:spacing w:after="0" w:line="281"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Sanctions imposed by governments, or changes to such sanction regulations (such as sanctions imposed on Russia), and related counter-sanctions, could have a material adverse impact on our operations or financial results.</w:t>
      </w:r>
    </w:p>
    <w:p>
      <w:pPr>
        <w:ind w:left="760" w:hanging="378"/>
        <w:spacing w:after="0" w:line="281"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Our business will be negatively affected if we are not able to anticipate and keep pace with rapid changes in government laws or regulations, or if government laws or regulations decrease the need for our services or increase our costs.</w:t>
      </w:r>
    </w:p>
    <w:p>
      <w:pPr>
        <w:ind w:left="760" w:right="120" w:hanging="378"/>
        <w:spacing w:after="0" w:line="265"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Our compliance systems and controls cannot guarantee that we comply with all applicable federal and state or foreign laws and regulations, and actions by regulatory authorities or changes in applicable laws and regulations in the jurisdictions in which we operate could have an adverse effect on our business.</w:t>
      </w:r>
    </w:p>
    <w:p>
      <w:pPr>
        <w:spacing w:after="0" w:line="15" w:lineRule="exact"/>
        <w:rPr>
          <w:rFonts w:ascii="Times New Roman" w:cs="Times New Roman" w:eastAsia="Times New Roman" w:hAnsi="Times New Roman"/>
          <w:sz w:val="18"/>
          <w:szCs w:val="18"/>
          <w:color w:val="auto"/>
        </w:rPr>
      </w:pPr>
    </w:p>
    <w:p>
      <w:pPr>
        <w:ind w:left="760" w:right="300" w:hanging="378"/>
        <w:spacing w:after="0" w:line="281"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Allegations of conflicts of interest or anti-competitive behavior, including in connection with accepting market derived income (‘MDI’), may have a material adverse effect on our business, financial condition, results of operation or reputation.</w:t>
      </w: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Changes and developments in the health insurance system in the United States could harm our business.</w:t>
      </w:r>
    </w:p>
    <w:p>
      <w:pPr>
        <w:spacing w:after="0" w:line="62" w:lineRule="exact"/>
        <w:rPr>
          <w:rFonts w:ascii="Times New Roman" w:cs="Times New Roman" w:eastAsia="Times New Roman" w:hAnsi="Times New Roman"/>
          <w:sz w:val="18"/>
          <w:szCs w:val="18"/>
          <w:color w:val="auto"/>
        </w:rPr>
      </w:pPr>
    </w:p>
    <w:p>
      <w:pPr>
        <w:ind w:left="760" w:right="820" w:hanging="378"/>
        <w:spacing w:after="0" w:line="281"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Increasing scrutiny and changing expectations from investors, clients and our colleagues with respect to our environmental, social and governance (‘ESG’) practices may impose additional costs on us or expose us to reputational or other risks.</w:t>
      </w:r>
    </w:p>
    <w:p>
      <w:pPr>
        <w:ind w:left="760" w:right="200" w:hanging="378"/>
        <w:spacing w:after="0" w:line="279"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The United Kingdom’s exit from the European Union, which occurred on January 31, 2020, and the risk that other countries may follow, could adversely affect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-2955925</wp:posOffset>
            </wp:positionV>
            <wp:extent cx="64687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46874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-2819400</wp:posOffset>
            </wp:positionV>
            <wp:extent cx="14960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9606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-2647950</wp:posOffset>
            </wp:positionV>
            <wp:extent cx="66287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2876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-2510790</wp:posOffset>
            </wp:positionV>
            <wp:extent cx="320484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0484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-2339975</wp:posOffset>
            </wp:positionV>
            <wp:extent cx="64922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49224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-2202815</wp:posOffset>
            </wp:positionV>
            <wp:extent cx="243713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43713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-2031365</wp:posOffset>
            </wp:positionV>
            <wp:extent cx="62160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1601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-1894205</wp:posOffset>
            </wp:positionV>
            <wp:extent cx="39103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91033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-1723390</wp:posOffset>
            </wp:positionV>
            <wp:extent cx="665734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5734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-1586230</wp:posOffset>
            </wp:positionV>
            <wp:extent cx="4005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00558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-1414780</wp:posOffset>
            </wp:positionV>
            <wp:extent cx="659447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59447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-1278255</wp:posOffset>
            </wp:positionV>
            <wp:extent cx="647128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7128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-1141095</wp:posOffset>
            </wp:positionV>
            <wp:extent cx="10248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2489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-969645</wp:posOffset>
            </wp:positionV>
            <wp:extent cx="647890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7890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-832485</wp:posOffset>
            </wp:positionV>
            <wp:extent cx="459613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59613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-661670</wp:posOffset>
            </wp:positionV>
            <wp:extent cx="47478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74789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-490220</wp:posOffset>
            </wp:positionV>
            <wp:extent cx="61544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15442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-353060</wp:posOffset>
            </wp:positionV>
            <wp:extent cx="4902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90283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-182245</wp:posOffset>
            </wp:positionV>
            <wp:extent cx="65493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54939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-45085</wp:posOffset>
            </wp:positionV>
            <wp:extent cx="8820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201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and Related Regulatory Risks</w:t>
      </w:r>
    </w:p>
    <w:p>
      <w:pPr>
        <w:spacing w:after="0" w:line="67" w:lineRule="exact"/>
        <w:rPr>
          <w:sz w:val="20"/>
          <w:szCs w:val="20"/>
          <w:color w:val="auto"/>
        </w:rPr>
      </w:pPr>
    </w:p>
    <w:p>
      <w:pPr>
        <w:ind w:left="760" w:right="320" w:hanging="378"/>
        <w:spacing w:after="0" w:line="281"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We have material pension liabilities that can fluctuate significantly and adversely affect our financial position or net income or result in other financial impacts.</w:t>
      </w:r>
    </w:p>
    <w:p>
      <w:pPr>
        <w:ind w:left="760" w:right="360" w:hanging="378"/>
        <w:spacing w:after="0" w:line="281"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Our outstanding debt could adversely affect our cash flows and financial flexibility, and we may not be able to obtain financing on favorable terms or at all.</w:t>
      </w:r>
    </w:p>
    <w:p>
      <w:pPr>
        <w:ind w:left="760" w:right="100" w:hanging="378"/>
        <w:spacing w:after="0" w:line="281"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A downgrade to our corporate credit rating and the credit ratings of our outstanding debt may adversely affect our borrowing costs and financial flexibility and, under certain circumstances, may require us to offer to buy back some of our outstanding debt.</w:t>
      </w:r>
    </w:p>
    <w:p>
      <w:pPr>
        <w:ind w:left="760" w:right="160" w:hanging="378"/>
        <w:spacing w:after="0" w:line="281"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Our significant non-U.S. operations, particularly our London market operations, expose us to exchange rate fluctuations and various other risks that could impact our business.</w:t>
      </w:r>
    </w:p>
    <w:p>
      <w:pPr>
        <w:ind w:left="760" w:right="340" w:hanging="378"/>
        <w:spacing w:after="0" w:line="281"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Changes in accounting principles or in our accounting estimates and assumptions could negatively affect our financial position and results of operations.</w:t>
      </w:r>
    </w:p>
    <w:p>
      <w:pPr>
        <w:ind w:left="760" w:right="500" w:hanging="378"/>
        <w:spacing w:after="0" w:line="281"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Our quarterly revenue and cash flow could fluctuate, including as a result of factors outside of our control, while our expenses may remain relatively fixed or be higher than expected.</w:t>
      </w:r>
    </w:p>
    <w:p>
      <w:pPr>
        <w:ind w:left="760" w:right="80" w:hanging="378"/>
        <w:spacing w:after="0" w:line="260"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While we have incorporated provisions for the use of successor benchmarks in our existing external and intercompany floating-rate facilities which use the London Interbank Offered Rate (‘LIBOR’) as a reference rate, there remains uncertainty as to how the anticipated discontinuation of LIBOR may affect the market for or pricing of any LIBOR-linked securities, loans, derivatives, and other financial obligations which we may seek to obtain in the future.</w:t>
      </w:r>
    </w:p>
    <w:p>
      <w:pPr>
        <w:spacing w:after="0" w:line="1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We are a holding company and, therefore, may not be able to receive dividends or other distributions in needed amounts from our subsidiaries.</w:t>
      </w:r>
    </w:p>
    <w:p>
      <w:pPr>
        <w:spacing w:after="0" w:line="5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Tax Risks</w:t>
      </w:r>
    </w:p>
    <w:p>
      <w:pPr>
        <w:spacing w:after="0" w:line="6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If a U.S. person is treated as owning at least 10% of our shares, such a holder may be subject to adverse U.S. federal income tax consequences.</w:t>
      </w:r>
    </w:p>
    <w:p>
      <w:pPr>
        <w:spacing w:after="0" w:line="62" w:lineRule="exact"/>
        <w:rPr>
          <w:rFonts w:ascii="Times New Roman" w:cs="Times New Roman" w:eastAsia="Times New Roman" w:hAnsi="Times New Roman"/>
          <w:sz w:val="18"/>
          <w:szCs w:val="18"/>
          <w:color w:val="auto"/>
        </w:rPr>
      </w:pPr>
    </w:p>
    <w:p>
      <w:pPr>
        <w:ind w:left="760" w:right="320" w:hanging="378"/>
        <w:spacing w:after="0" w:line="279"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Legislative or regulatory action or developments in case law in the U.S. or elsewhere could have a material adverse impact on our worldwide effective corporate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-3127375</wp:posOffset>
            </wp:positionV>
            <wp:extent cx="646620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46620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-2990215</wp:posOffset>
            </wp:positionV>
            <wp:extent cx="8108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1089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-2819400</wp:posOffset>
            </wp:positionV>
            <wp:extent cx="644271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44271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-2682240</wp:posOffset>
            </wp:positionV>
            <wp:extent cx="6591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5913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-2510790</wp:posOffset>
            </wp:positionV>
            <wp:extent cx="66052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60527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-2374265</wp:posOffset>
            </wp:positionV>
            <wp:extent cx="50241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02412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-2202815</wp:posOffset>
            </wp:positionV>
            <wp:extent cx="65697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56971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-2065655</wp:posOffset>
            </wp:positionV>
            <wp:extent cx="141668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41668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-1894205</wp:posOffset>
            </wp:positionV>
            <wp:extent cx="64566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45668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-1757680</wp:posOffset>
            </wp:positionV>
            <wp:extent cx="5035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0355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-1586230</wp:posOffset>
            </wp:positionV>
            <wp:extent cx="6360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36016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-1449070</wp:posOffset>
            </wp:positionV>
            <wp:extent cx="19615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96151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-1278255</wp:posOffset>
            </wp:positionV>
            <wp:extent cx="64484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44842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-1141095</wp:posOffset>
            </wp:positionV>
            <wp:extent cx="6614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61416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-1003935</wp:posOffset>
            </wp:positionV>
            <wp:extent cx="6624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62432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-866775</wp:posOffset>
            </wp:positionV>
            <wp:extent cx="124841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48410"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-695960</wp:posOffset>
            </wp:positionV>
            <wp:extent cx="650938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50938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-353060</wp:posOffset>
            </wp:positionV>
            <wp:extent cx="65284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52843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-182245</wp:posOffset>
            </wp:positionV>
            <wp:extent cx="64738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47382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-45085</wp:posOffset>
            </wp:positionV>
            <wp:extent cx="12522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522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Being an Irish-Incorporated Company</w:t>
      </w:r>
    </w:p>
    <w:p>
      <w:pPr>
        <w:spacing w:after="0" w:line="67"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The laws of Ireland differ from the laws in effect in the United States and may afford less protection to holders of our securities.</w:t>
      </w:r>
    </w:p>
    <w:p>
      <w:pPr>
        <w:spacing w:after="0" w:line="62" w:lineRule="exact"/>
        <w:rPr>
          <w:rFonts w:ascii="Times New Roman" w:cs="Times New Roman" w:eastAsia="Times New Roman" w:hAnsi="Times New Roman"/>
          <w:sz w:val="18"/>
          <w:szCs w:val="18"/>
          <w:color w:val="auto"/>
        </w:rPr>
      </w:pPr>
    </w:p>
    <w:p>
      <w:pPr>
        <w:ind w:left="760" w:right="200" w:hanging="378"/>
        <w:spacing w:after="0" w:line="281"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As an Irish public limited company, certain decisions related to our capital structure will require the approval of shareholders, which may limit our flexibility to manage our capital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-12700</wp:posOffset>
            </wp:positionV>
            <wp:extent cx="689292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92925" cy="1714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-355600</wp:posOffset>
            </wp:positionV>
            <wp:extent cx="584390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84390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-184150</wp:posOffset>
            </wp:positionV>
            <wp:extent cx="653986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539865" cy="8255"/>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-46990</wp:posOffset>
            </wp:positionV>
            <wp:extent cx="21012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01215" cy="8255"/>
                    </a:xfrm>
                    <a:prstGeom prst="rect">
                      <a:avLst/>
                    </a:prstGeom>
                    <a:noFill/>
                  </pic:spPr>
                </pic:pic>
              </a:graphicData>
            </a:graphic>
          </wp:anchor>
        </w:drawing>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19" w:name="page20"/>
    <w:bookmarkEnd w:id="19"/>
    <w:p>
      <w:pPr>
        <w:jc w:val="center"/>
        <w:ind w:right="380"/>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Our financial performance, including our business results, financial condition, result of operations, cash flows and price of our ordinary shares, is subject to various risks and uncertainties, including as described in this Item 1A of Part I of our Annual Report. In addition to the factors discussed elsewhere in this Annual Report on Form 10-K, the following are some of the important factors that could cause our actual results to differ materially from those projected in any forward-looking statements. These risk factors should be carefully considered in evaluating our business. The descriptions below are not the only risks and uncertainties that we face. Additional risks and uncertainties that are presently unknown to us could also impair our business operations, financial condition or results. If any of the risks and uncertainties below or other risks were to occur, our business operations, financial condition or results of operations could be materially and adversely impacted. Risks in this section are grouped into categories; the headings of these categories are inserted for convenience of reference only and are not intended to be a part of or to affect the meaning or interpretation of any of the risk factors described herein. Many risks affect more than one category, and the risks are not in order of significance or probability of occurrence solely because they have been grouped by categories. </w:t>
      </w:r>
      <w:r>
        <w:rPr>
          <w:rFonts w:ascii="Times New Roman" w:cs="Times New Roman" w:eastAsia="Times New Roman" w:hAnsi="Times New Roman"/>
          <w:sz w:val="18"/>
          <w:szCs w:val="18"/>
          <w:b w:val="1"/>
          <w:bCs w:val="1"/>
          <w:color w:val="auto"/>
        </w:rPr>
        <w:t>With respect to the tax-related consequences of acquisition, ownership, and disposal of ordinary shares, you should consult with your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own tax advisors.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Strategic and Operational Transformation Risks</w:t>
      </w:r>
    </w:p>
    <w:p>
      <w:pPr>
        <w:spacing w:after="0" w:line="17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success largely depends on our ability to achieve our global business strategy as it evolves, and our results of operations and financial condition could suffer if the Company were unable to successfully establish and execute on its strategy and generate anticipated revenue growth and cost savings and efficiencies.</w:t>
      </w:r>
    </w:p>
    <w:p>
      <w:pPr>
        <w:spacing w:after="0" w:line="120"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Our future growth, profitability, and cash flows largely depend upon our ability to successfully establish and execute our global business strategy. As discussed under Item 1, ‘Business - Business Strategy’, we seek to be an advisory, broking and solutions provider of choice through an integrated global platform. While we have confidence that our strategic plan reflects opportunities that are appropriate and achievable, there is a possibility that our strategy may not deliver projected long-term growth in revenue and profitability due to inadequate execution, incorrect assumptions, global or local economic conditions, competition, changes in the industries in which we operate, sub-optimal resource allocation or any of the other risks described in this ‘Risk Factors’ section. In addition, our strategy continues to evolve, and it is possible that we will be unable to successfully execute the associated strategy changes, due to factors discussed above or elsewhere in this ‘Risk Factors’ section. In pursuit of our growth strategy, we may also invest significant time and resources into new product or service offerings, and there is the possibility that these offerings may fail to yield sufficient return to cover their investment. The failure to continually develop and execute optimally on our global business strategy could have a material adverse effect on our business, financial condition and results of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fully realize the anticipated benefits of our growth strategy.</w:t>
      </w:r>
    </w:p>
    <w:p>
      <w:pPr>
        <w:spacing w:after="0" w:line="175"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We have stated certain goals at our 2021 Investor Day and our outlook for the next several years, including with respect to our cash flows, our growth and margin targets, and our share repurchases, and in 2022, in light of the completion of the divestiture of our Russian subsidiaries to local management (and updated conditions and assessments about the impact of the divestiture on future revenue and expenses), we recast our previously stated outlook and financial targets.</w:t>
      </w:r>
    </w:p>
    <w:p>
      <w:pPr>
        <w:spacing w:after="0" w:line="128"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Our initiatives aiming to implement our recast targets and future financial objectives pose potential operational risks and may result in distraction of management and employees. We cannot be certain whether we will be able to realize benefits from current revenue-generating or cost-saving initiatives and ultimately realize our objectives. There can be no assurance that our actual results will meet these recast financial goals.</w:t>
      </w:r>
    </w:p>
    <w:p>
      <w:pPr>
        <w:spacing w:after="0" w:line="11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successfully manage ongoing organizational changes could impact our business results, where the level of costs and/or disruption may be significant and change over time, and the benefits may be less than we originally expect.</w:t>
      </w:r>
    </w:p>
    <w:p>
      <w:pPr>
        <w:spacing w:after="0" w:line="15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have in the past few years undergone several significant business and organizational changes, including multi-year operational transformation programs and a new management and organizational structure, among others. There are also a number of other initiatives planned or ongoing to transform and update our systems and processes and gain efficiencies. In addition, our strategy continues to evolve, and such evolution may result in further organizational changes or more or different investments than we currently anticipate. In connection with all these changes, we may manage a number of large-scale and complex projects. Such projects may include multiple and connected phases, many of which may be dependent on factors that are outside of our control. While we plan to undertake these types of large, complex projects based on our determination that each is necessary or desirable for the execution of the Company’s business strategy, we cannot guarantee that the collective effect of all of these projects will not adversely impact our business or results of operations or that the benefits will be as we originally expected. Effectively managing these organizational changes (including ensuring that they are implemented on schedule, within budget and without interruption to the existing business, or that transitions to new systems do not create significant control vulnerabilities during the period of transition) is critical to retaining talent, servicing clients and our business success overall. We may have difficulty attracting, training, and retaining the talent that we need to successfully manage this change. Further, many of the risks described herein increase during periods of</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20" w:name="page21"/>
    <w:bookmarkEnd w:id="20"/>
    <w:p>
      <w:pPr>
        <w:ind w:right="400"/>
        <w:spacing w:after="0" w:line="281" w:lineRule="auto"/>
        <w:rPr>
          <w:sz w:val="20"/>
          <w:szCs w:val="20"/>
          <w:color w:val="auto"/>
        </w:rPr>
      </w:pPr>
      <w:r>
        <w:rPr>
          <w:rFonts w:ascii="Times New Roman" w:cs="Times New Roman" w:eastAsia="Times New Roman" w:hAnsi="Times New Roman"/>
          <w:sz w:val="18"/>
          <w:szCs w:val="18"/>
          <w:color w:val="auto"/>
        </w:rPr>
        <w:t>significant organizational change and transformation. The failure to effectively manage such risks could adversely impact our resources or business or financial results.</w:t>
      </w:r>
    </w:p>
    <w:p>
      <w:pPr>
        <w:spacing w:after="0" w:line="15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growth strategy depends, in part, on our ability to make acquisitions. We face risks when we acquire or divest businesses, and we could have difficulty in acquiring, integrating or managing acquired businesses, or with effecting internal reorganizations, all of which could harm our business, financial condition, results of operations or reputation.</w:t>
      </w:r>
    </w:p>
    <w:p>
      <w:pPr>
        <w:spacing w:after="0" w:line="12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growth depends in part on our ability to make acquisitions. We may not be successful in identifying appropriate acquisition candidates or consummating acquisitions on terms acceptable or favorable to us. We also face additional risks related to acquisitions, including that we could overpay for acquired businesses and that any acquired business could significantly underperform relative to our expectations. In addition, we may not repurchase as many of our outstanding shares as anticipated due to our acquisition activity or investment opportunities, as well as other market or business conditions. If we are unable to identify and successfully make, integrate and manage acquisitions, our business could be materially adversely affected. In addition, we face risks related to divesting businesses, including that we may not receive adequate consideration in return for the divested business, we may continue to be subject to the liabilities of the divested business after its divestiture (including with respect to work we might have performed on behalf of the divested business), and we may not be able to reduce overhead or redeploy assets or retain colleagues after the divestiture closes. For example, we completed the divestiture of the Willis Re business to Gallagher in 2022 which may give rise to such risks including those risks associated with managing transition arrangements.</w:t>
      </w:r>
    </w:p>
    <w:p>
      <w:pPr>
        <w:spacing w:after="0" w:line="13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we cannot be certain that our acquisitions will be accretive to earnings or that our acquisitions or divestitures will otherwise meet our operational or strategic expectations. Acquisitions involve special risks, including the potential assumption of unanticipated liabilities and contingencies and difficulties in integrating acquired businesses, and acquired businesses may not achieve the levels of revenue, profit, or productivity we anticipate or otherwise perform as we expect. In addition, if the operating performance of an acquired business deteriorates significantly, we may need to write down the value of the goodwill and other acquisition-related intangible assets recorded on our consolidated balance sheet.</w:t>
      </w:r>
    </w:p>
    <w:p>
      <w:pPr>
        <w:spacing w:after="0" w:line="12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may be unable to effectively integrate an acquired business into our organization and may not succeed in managing such acquired businesses or the larger company that results from such acquisitions. The process of integrating an acquired business may subject us to a number of risks, including, without limitation, an inability to retain the management, key personnel and other employees of the acquired business; an inability to establish uniform standards, controls, systems, procedures and policies or to achieve anticipated savings; and exposure to legal claims or regulatory censure for activities of the acquired business prior to acquisition.</w:t>
      </w:r>
    </w:p>
    <w:p>
      <w:pPr>
        <w:spacing w:after="0" w:line="12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With respect to any such acquisition transactions, we face the risk related to the potential impacts of the transaction and integration on relationships, including with employees, correspondents, suppliers, clients and competitors, as well as the risk related to contingent liabilities (including litigation) potentially creating material liabilities for the Company. The following risks, in addition to those described above, may also adversely affect our ability to successfully implement and integrate these acquisitions: material changes in U.S. and foreign jurisdiction regulations (including those related to the healthcare system and Medicare and insurance brokerage, pension advisory, and investment services); changes in general economic, business and political conditions in relevant markets, including changes in the financial markets; significant competition in the marketplace; and compliance with extensive and evolving government regulations in the U.S. and in foreign jurisdictions.</w:t>
      </w:r>
    </w:p>
    <w:p>
      <w:pPr>
        <w:spacing w:after="0" w:line="13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If acquisitions are not successfully integrated and the intended benefits of the acquisitions are not achieved, our business, financial condition and results of operations could be materially adversely affected, as well as our professional reputation. We also own an interest in a number of associates and companies where we do not exercise management control and we are therefore limited in our ability to direct or manage the business to realize the anticipated benefits that we could achieve if we had full ownership.</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The </w:t>
      </w:r>
      <w:r>
        <w:rPr>
          <w:rFonts w:ascii="Times New Roman" w:cs="Times New Roman" w:eastAsia="Times New Roman" w:hAnsi="Times New Roman"/>
          <w:sz w:val="18"/>
          <w:szCs w:val="18"/>
          <w:b w:val="1"/>
          <w:bCs w:val="1"/>
          <w:i w:val="1"/>
          <w:iCs w:val="1"/>
          <w:color w:val="212529"/>
        </w:rPr>
        <w:t>sale of Willis Re to Gallagher, including transitional arrangements, creates incremental business, operational, regulatory and reputational risks.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completion of the agreed-upon transaction to sell our Willis Re business to Gallagher, which has occurred in all jurisdictions globally, entails important risks, including, among others: the risk that the post-closing transition arrangements, which are complex, may impose costs or liabilities or may give rise to errors in execution, be distracting to our management, or cause disruption to our business or our relationships with clients, employees, suppliers, regulators, competitors, and other third parties; the risk that the triggers for the potential earnout payment may not be met; the risk that transaction and/or transition costs may be greater than expected, including as a result of the complexity of the transition arrangements in domestic and international jurisdictions across the globe; the risk that management’s attention is diverted from other matters during the post-closing period; the risk that litigation associated with the Gallagher transaction or with contingent liabilities we have retained, if any, arises; the risk of disruptions from the completion of the Gallagher transaction and transition arrangements that impact our business, including current plans and operations, including the risk of exacerbating existing disruptions or challenges we face; and other risks in this Annual Report on Form 10-K and in our other SEC filings.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21" w:name="page22"/>
    <w:bookmarkEnd w:id="21"/>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performance and growth plans could be negatively affected if we are not able to effectively apply technology, data and analytics to drive value for our clients through technology-based solutions or gain internal efficiencies through the effective application of technology, analytics and related tools.</w:t>
      </w:r>
    </w:p>
    <w:p>
      <w:pPr>
        <w:spacing w:after="0" w:line="120"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Our success depends, in part, on our ability to develop and implement technology, data and analytic solutions that anticipate, lead or keep pace with rapid and continuing changes in technology both for internal operations and for maintaining industry standards and meeting client preferences. We may not be successful in anticipating or responding to these developments in a timely and cost-effective manner or in attracting and maintaining personnel with the necessary skills in this area. Additionally, our ideas may not lead to the desired internal efficiencies or be accepted in the marketplace. In addition, we may not be able to implement technology-based solutions as quickly as desired if, for example, greater resources are required than originally expected or resources are otherwise needed elsewhere. The effort to gain technological and data expertise and develop new technologies or analytic techniques in our business requires us to incur significant cost and attract qualified technical talent who are in high demand. Our competitors are seeking to develop competing or new technologies, and their success in this space may impact our ability to differentiate our services to our clients through the use of unique technological solutions. In certain cases, we may decide, based on perceived business needs, to make investments that may be greater than we currently anticipate. If we cannot offer new technologies or data and analytic services or solutions as quickly or effectively as our competitors, or if our competitors develop more cost-effective technologies or analytic tools, it could have a material adverse effect on our ability to obtain and complete client engagements.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Environment Risks</w:t>
      </w:r>
    </w:p>
    <w:p>
      <w:pPr>
        <w:spacing w:after="0" w:line="17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our services could decrease for various reasons, including a general economic downturn, increased competition, or a decline in a client’s or an industry’s financial condition or prospects, all of which could substantially and negatively affect us.</w:t>
      </w:r>
    </w:p>
    <w:p>
      <w:pPr>
        <w:spacing w:after="0" w:line="104"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8"/>
          <w:szCs w:val="18"/>
          <w:color w:val="auto"/>
        </w:rPr>
        <w:t>The demand for our services may not grow or be maintained, and we may not be able to compete successfully with our existing competitors, new competitors or our clients’ internal capabilities. Client demand for our services may change based on the clients’ needs and financial conditions, among other factors.</w:t>
      </w:r>
    </w:p>
    <w:p>
      <w:pPr>
        <w:spacing w:after="0" w:line="12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results of operations are affected directly by the level of business activity of our clients, which in turn is affected by the level of economic activity in the industries and markets that they serve. For example, any changes in U.S. trade policy (including any increases in tariffs that result in a trade war), recessionary conditions in some of the markets where we do business, inflationary conditions, ongoing stock market volatility or an increase in, or unmet market expectations with respect to, interest rates could adversely affect the general economy. As a result, global financial markets may continue to experience disruptions, including increased volatility and reduced credit availability, which could substantially impact our results. Likewise, COVID-19 and related economic disruptions have impacted and could have a material adverse impact on global demand from our clients, as well as our operations as discussed elsewhere in this report. While it is difficult to predict the consequences of any deterioration in global economic conditions on our business, any significant reduction or delay by our clients in purchasing our services or insurance or making payment of premiums could have a material adverse impact on our financial condition and results of operations. In addition, the potential for a significant insurer to fail, be downgraded or withdraw from writing certain lines of insurance coverages that we offer our clients could negatively impact overall capacity in the industry, which could then reduce the placement of certain lines and types of insurance and reduce our revenue and profitability. The potential for an insurer to fail or be downgraded could also result in errors and omissions claims by clients.</w:t>
      </w:r>
    </w:p>
    <w:p>
      <w:pPr>
        <w:spacing w:after="0" w:line="132"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In addition, the markets for our principal services are highly competitive. Our competitors include other insurance brokerage (including direct-to-consumer Medicare brokerage), human capital and risk management consulting and actuarial firms, and the human capital and risk management divisions of diversified professional services, insurance, brokerage and accounting firms and specialty, regional and local firms.</w:t>
      </w:r>
    </w:p>
    <w:p>
      <w:pPr>
        <w:spacing w:after="0" w:line="123"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Competition for business is intense in all of our business lines and in every insurance market, and some competitors have greater market share in certain lines of business than we do. Some of our competitors have greater financial, technical and marketing resources than us, which could enhance their ability to finance acquisitions, fund internal growth and respond more quickly to professional and technological changes. New competitors, as well as increasing and evolving consolidation or alliances among existing competitors, have created and could continue to create additional competition and could significantly reduce our market share, resulting in a loss of business for us and a corresponding decline in revenue and profit margin. In order to respond to increased competition and pricing pressure, we may have to lower our prices, which would also have an adverse effect on our revenue and profit margin.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22" w:name="page23"/>
    <w:bookmarkEnd w:id="22"/>
    <w:p>
      <w:pPr>
        <w:ind w:right="60"/>
        <w:spacing w:after="0" w:line="256" w:lineRule="auto"/>
        <w:rPr>
          <w:sz w:val="20"/>
          <w:szCs w:val="20"/>
          <w:color w:val="auto"/>
        </w:rPr>
      </w:pPr>
      <w:r>
        <w:rPr>
          <w:rFonts w:ascii="Times New Roman" w:cs="Times New Roman" w:eastAsia="Times New Roman" w:hAnsi="Times New Roman"/>
          <w:sz w:val="18"/>
          <w:szCs w:val="18"/>
          <w:color w:val="auto"/>
        </w:rPr>
        <w:t>In addition, existing and new competitors (whether traditional competitors or non-traditional competitors, such as technology companies) could develop competing technologies or product or service offerings that disrupt our industries. Any new technology or product or service offering (including insurance companies selling their products directly to consumers or other insureds) that reduces or eliminates the need for intermediaries in insurance sales transactions could have a material adverse effect on our business and results of operations. Further, the increasing willingness of clients to either self-insure or maintain a captive insurance company, and the development of capital markets-based solutions and other alternative capital sources for traditional insurance needs, could also materially adversely affect us and our results of operations.</w:t>
      </w:r>
    </w:p>
    <w:p>
      <w:pPr>
        <w:spacing w:after="0" w:line="13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An example of a business that may be significantly impacted by changes in customer demand is our retirement consulting and actuarial business, which comprises a substantial portion of our revenue and profit. We provide clients with actuarial and consulting services relating to both defined benefit and defined contribution pension plans. Defined benefit pension plans generally require more actuarial services than defined contribution plans because defined benefit plans typically involve large asset pools, complex calculations to determine employer costs, funding requirements and sophisticated analysis to match liabilities and assets over long periods of time. If organizations shift to defined contribution plans more rapidly than we anticipate, or if we are unable to otherwise compensate for the decline in our business that results from employers moving away from defined benefit plans, our business, financial condition and results of operations could be materially adversely affected. Furthermore, large and complex consulting projects, often involving dedicated personnel, resources and expenses, comprise a significant portion of this business, which are based on our clients’ discretionary needs and may be reduced based on a decline in a client’s or an industry’s financial condition or prospects. We also face the risk that certain large and complex project contracts may be reduced or terminated based on dissatisfaction with service levels, which could result in reduced revenue, write-offs of assets associated with the project, and disputes over the contract, all of which may adversely impact our results and business.</w:t>
      </w:r>
    </w:p>
    <w:p>
      <w:pPr>
        <w:spacing w:after="0" w:line="13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 addition, the demand for many of our core benefit services, including compliance-related services, is affected by government regulation and taxation of employee benefit plans. Significant changes in tax or social welfare policy or other regulations could lead some employers to discontinue their employee benefit plans, including defined benefit pension plans, thereby reducing the demand for our services. A simplification of regulations or tax policy could also reduce the need for our services.</w:t>
      </w:r>
    </w:p>
    <w:p>
      <w:pPr>
        <w:spacing w:after="0" w:line="124" w:lineRule="exact"/>
        <w:rPr>
          <w:sz w:val="20"/>
          <w:szCs w:val="20"/>
          <w:color w:val="auto"/>
        </w:rPr>
      </w:pPr>
    </w:p>
    <w:p>
      <w:pPr>
        <w:ind w:right="3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business, financial condition, results of operations, and long-term goals may continue to be adversely affected, possibly materially, by negative impacts on the global economy and capital markets resulting from the war between Russia and Ukraine or any other geopolitical tensions.</w:t>
      </w:r>
    </w:p>
    <w:p>
      <w:pPr>
        <w:spacing w:after="0" w:line="8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U.S. and global markets are experiencing volatility and disruption as a result of the war between Russia and Ukraine. Although the length and impact of the ongoing situation is highly unpredictable, as the war in Ukraine continues, it has and could continue to lead to further market disruptions.</w:t>
      </w:r>
    </w:p>
    <w:p>
      <w:pPr>
        <w:spacing w:after="0" w:line="10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Additionally, during the first quarter of 2022, we announced our intention to transfer ownership of our Russian subsidiaries to local management who will operate independently in the Russian market. Due to the sanctions and prohibitions on certain types of business and activities, we deconsolidated our Russian entities on March 14, 2022. The transfer of our Russian subsidiaries to local management was completed on agreed-upon terms on July 18, 2022, and the transfer was registered in Russia on July 25, 2022. The deconsolidation in the first quarter of 2022 resulted in a loss of $57 million. Further, total net assets impaired, including accounts receivable balances related to our Russian business that are held outside of our Russian entities, were $81 million during the year ended December 31, 2022. The Russian entities comprised approximately 1% of consolidated WTW revenue for 2021, primarily within our Risk &amp; Broking segment. Our Russian operation was a high-margin business and the lost profits from our Russian operations have impacted and are anticipated to continue to impact operating income and cash flow.</w:t>
      </w:r>
    </w:p>
    <w:p>
      <w:pPr>
        <w:spacing w:after="0" w:line="13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Sanctions imposed by the U.S., the E.U., the U.K. and other countries on Russia, as well as Russian counter-sanctions, are extensive. Additional sanctions and penalties have also been enacted, proposed and/or threatened. Russian actions and the resulting sanctions could adversely affect the global economy and financial markets and lead to instability and lack of liquidity in capital markets. The ramifications of the hostilities and sanctions, however, may not be limited to Russia and Russian companies but may spill over to and negatively impact other regional and global economic markets (including Europe and the United States), companies in other countries (particularly those that have done business with Russia) and various sectors, industries and markets for securities and commodities globally, such as oil and natural gas. Accordingly, the actions discussed above and the potential for a wider conflict could increase financial market volatility and could cause severe negative effects on regional and global economic markets, industries, and companies. In addition, Russia may take retaliatory actions and other countermeasures, including cyberattacks and espionage against other countries and companies around the world, which may negatively impact such countries and companies. The extent and duration of the Russian actions or future escalation of such hostilities, the extent and impact of existing and future sanctions, market disruptions and volatility, and the result of any diplomatic negotiations cannot be predicted. For additional sanctions-related risks, also see ‘</w:t>
      </w:r>
      <w:r>
        <w:rPr>
          <w:rFonts w:ascii="Times New Roman" w:cs="Times New Roman" w:eastAsia="Times New Roman" w:hAnsi="Times New Roman"/>
          <w:sz w:val="18"/>
          <w:szCs w:val="18"/>
          <w:i w:val="1"/>
          <w:iCs w:val="1"/>
          <w:color w:val="auto"/>
        </w:rPr>
        <w:t>Sanctions imposed by governments, or changes to such sanction regulations (such as sanctions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imposed on Russia), and related counter-sanctions, could have a material adverse impact on our operations or financial results’ </w:t>
      </w:r>
      <w:r>
        <w:rPr>
          <w:rFonts w:ascii="Times New Roman" w:cs="Times New Roman" w:eastAsia="Times New Roman" w:hAnsi="Times New Roman"/>
          <w:sz w:val="18"/>
          <w:szCs w:val="18"/>
          <w:color w:val="auto"/>
        </w:rPr>
        <w:t>below.</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of the above-mentioned factors, or other geopolitical tensions, could adversely affect our business, prospects, financial condition, and operating results.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extent and duration of the crisis, sanctions and resulting market disruptions are impossible to predict, but could be substantial.</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been impacted by the COVID-19 pandemic and may be substantially and negatively impacted by COVID-19 or other pandemics in the future.</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COVID-19 pandemic has had an adverse impact on global commercial activity, including the global supply chain, and at times has contributed to strain in financial markets, including, among other effects, significant volatility in equity markets, changes in interest rates and reduced liquidity on a global basis. It has also resulted in increased travel restrictions and extended shutdowns of businesses in various industries including, among others, travel, trade, tourism, health systems and food supply, and significantly reduced overall economic output. As such, there is a risk that COVID-19 and its variants could continue to have a negative impact, potentially substantial, on client demand and cash flow in certain or all of our businesses.</w:t>
      </w:r>
    </w:p>
    <w:p>
      <w:pPr>
        <w:spacing w:after="0" w:line="12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COVID-19 risks magnify other risks discussed in this report and any of our other SEC filings. For example, the effectiveness of external parties, including governmental and non-governmental organizations, in combating the spread and severity of COVID-19 and its variants could have a material impact on demand for our business. In addition, steps taken by market counterparties such as insurance carriers to limit their exposures to COVID-19 and related risks could have an impact on their willingness to provide or renew coverage for our clients on historical terms and pricing, which could again impact demand for our business. Coverage disputes arising out of the pandemic, some of which have already emerged, could also increase our professional liability risk by increasing the frequency and severity of allegations by others that, in the course of providing services, we have committed errors or omissions for which we should have liability. The continued fluidity of the COVID-19 pandemic, including the ongoing development, availability, distribution and acceptance of effective vaccines and the emergence of vaccine-resistant variants, precludes any prediction as to the duration of the effects of the COVID-19 pandemic and the ultimate adverse impact of COVID-19 on our business. As a result, the COVID-19 pandemic continues to present material uncertainty and risk with respect to demand for and delivery of our products and services.</w:t>
      </w:r>
    </w:p>
    <w:p>
      <w:pPr>
        <w:spacing w:after="0" w:line="13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addition, COVID-19 has disrupted certain aspects of our business and could continue to disrupt, possibly materially, our business operations and the services we provide, as well as the business operations of our clients, suppliers and other third parties with whom we interact. As an increasing percentage of our colleagues continue to work remotely, we face resiliency risks, such as the risk that our information technology platform could potentially be inadequate to support increasing demand, as well as the risk that unusual working arrangements could impact the effectiveness of our operations or controls. Economic disruption caused by COVID-19 or other factors may impact the pace at which we make information technology-based investments, and we may continue to make fewer information technology-based investments than previously anticipated, which could potentially create business operational risk. In addition, we depend on third-party platforms and other infrastructure to provide certain of our products and services, and such third-party infrastructures face similar resiliency risks. These factors have exposed us to increased phishing and other cybersecurity attacks as cybercriminals try to exploit the uncertainty surrounding the COVID-19 pandemic, as well as an increase in the number of points of potential attack, such as laptops and mobile devices (both of which are now being used in increased numbers as many of our employees work remotely), to be secured. A failure to effectively manage these risks, including to promptly identify and appropriately respond to any cyberattacks, may adversely affect our business.</w:t>
      </w:r>
    </w:p>
    <w:p>
      <w:pPr>
        <w:spacing w:after="0" w:line="13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Also, a potential COVID-19 infection of any of our key colleagues could substantially and negatively impact our operations. Further, it is possible that COVID-19 causes us to close down call centers and hubs and other processes on which we rely, or impacts processes of third-party vendors on whom we rely, which could also materially impact our operations. Resultant changes in financial markets could also have a material impact on our own hedging and other financial transactions, which could impact our liquidity. In addition, it is possible that COVID-19 restrictions could create difficulty for satisfying our legal or regulatory filing or other obligations, including with the SEC and other regulators.</w:t>
      </w:r>
    </w:p>
    <w:p>
      <w:pPr>
        <w:spacing w:after="0" w:line="12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As noted above, supply and labor market disruptions caused by COVID-19 as well as other factors, such as accommodative monetary and fiscal policy, have contributed to significant inflation in many of the markets in which we operate. For additional economic risks, also see ‘</w:t>
      </w:r>
      <w:r>
        <w:rPr>
          <w:rFonts w:ascii="Times New Roman" w:cs="Times New Roman" w:eastAsia="Times New Roman" w:hAnsi="Times New Roman"/>
          <w:sz w:val="18"/>
          <w:szCs w:val="18"/>
          <w:i w:val="1"/>
          <w:iCs w:val="1"/>
          <w:color w:val="auto"/>
        </w:rPr>
        <w:t>Macroeconomic trends,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including inflation, increased interest rates and trade policies could continue to adversely affect our business, results of operations or financial condition’ </w:t>
      </w:r>
      <w:r>
        <w:rPr>
          <w:rFonts w:ascii="Times New Roman" w:cs="Times New Roman" w:eastAsia="Times New Roman" w:hAnsi="Times New Roman"/>
          <w:sz w:val="18"/>
          <w:szCs w:val="18"/>
          <w:color w:val="auto"/>
        </w:rPr>
        <w:t>below. This impacts not only the costs to attract and retain employees but also other costs to run and invest in our business. If our costs grow significantly in excess of our ability to raise revenues, our margins and results of operations may be materially and adversely impacted and we may not be able to achieve our strategic and financial objectives.</w:t>
      </w:r>
    </w:p>
    <w:p>
      <w:pPr>
        <w:spacing w:after="0" w:line="132"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All of the foregoing events or potential outcomes, including in combination with other risk factors included in this Annual Report on Form 10-K, could cause a substantial negative effect on our results of operations in any period and, depending on their severity, could also substantially and negatively affect our financial condition. Furthermore, such potential material adverse effects may lag behind the developments related to the COVID-19 pandemic. Such events and outcomes also could potentially impact our reputation with clients and regulators, among others.</w:t>
      </w:r>
    </w:p>
    <w:p>
      <w:pPr>
        <w:spacing w:after="0" w:line="12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Damage to our reputation, including due to the failure of third parties on whom we rely to perform services or public opinions of third parties with whom we associate, could adversely affect our businesses.</w:t>
      </w:r>
    </w:p>
    <w:p>
      <w:pPr>
        <w:spacing w:after="0" w:line="104"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Maintaining a positive reputation is critical to our ability to attract and maintain relationships with clients and colleagues. Damage to our reputation could therefore cause significant harm to our business and prospects. Harm to our reputation can arise from numerous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24" w:name="page25"/>
    <w:bookmarkEnd w:id="24"/>
    <w:p>
      <w:pPr>
        <w:ind w:right="140"/>
        <w:spacing w:after="0" w:line="254" w:lineRule="auto"/>
        <w:rPr>
          <w:sz w:val="20"/>
          <w:szCs w:val="20"/>
          <w:color w:val="auto"/>
        </w:rPr>
      </w:pPr>
      <w:r>
        <w:rPr>
          <w:rFonts w:ascii="Times New Roman" w:cs="Times New Roman" w:eastAsia="Times New Roman" w:hAnsi="Times New Roman"/>
          <w:sz w:val="18"/>
          <w:szCs w:val="18"/>
          <w:color w:val="auto"/>
        </w:rPr>
        <w:t>sources, including among others, employee misconduct, litigation or regulatory action, failure to deliver minimum standards of service and quality, compliance failures, allegations of conflicts of interest and unethical behavior. Such harm could also arise from negative public opinion or political conditions arising from our association with third parties in any number of activities or circumstances. Negative perceptions or publicity, whether or not true, may result in harm to our prospects. In addition, the failure to deliver satisfactory service and quality performance, on time and within budget, in one line of business could cause clients to terminate the services we provide to those clients in many other lines of business. This risk has increased as the Company has become larger and more complex and as we take on increasingly complicated projects for our clients (such as complex outsourcing engagements and technology solutions development/implementation projects that require a significant amount of dedicated personnel resources and expenses).</w:t>
      </w:r>
    </w:p>
    <w:p>
      <w:pPr>
        <w:spacing w:after="0" w:line="13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addition, as part of providing services to clients and managing our business, we not only depend on a number of third-party service providers and suppliers today, but we expect to engage the services of new third parties in the future as we continue to implement our operational transformation programs. Our ability to perform effectively depends in part on the ability of these service providers to meet their obligations, as well as on our effective oversight of their performance. The quality of our services could suffer, or we could be required to incur unanticipated costs if our third-party service providers do not perform as expected or their services are disrupted. This could have a material adverse effect on our reputation as well as our business and results of operations.</w:t>
      </w:r>
    </w:p>
    <w:p>
      <w:pPr>
        <w:spacing w:after="0" w:line="12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harmed by any negative developments that may occur in the insurance industry or if we fail to maintain good relationships with insurance carriers.</w:t>
      </w:r>
    </w:p>
    <w:p>
      <w:pPr>
        <w:spacing w:after="0" w:line="104"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Many of our businesses are heavily dependent on the insurance industry. Any negative developments that occur in the insurance industry may have a material adverse effect on our business and our results of operations. In addition, if we fail to maintain good relationships with insurance carriers, it may have a material adverse effect on our business and results of operations.</w:t>
      </w:r>
    </w:p>
    <w:p>
      <w:pPr>
        <w:spacing w:after="0" w:line="12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private health insurance industry in the U.S. has experienced a substantial amount of consolidation over the past several years, resulting in a decrease in the number of insurance carriers. In the future, it may become necessary for us to offer insurance plans from a reduced number of insurance carriers or to derive a greater portion of our revenue from a more concentrated number of carriers as our business and the health insurance industry continue to evolve. The termination, amendment or consolidation of our relationships with our insurance carriers in the U.S. or in any other jurisdiction could harm our business, results of operations and financial condition.</w:t>
      </w:r>
    </w:p>
    <w:p>
      <w:pPr>
        <w:spacing w:after="0" w:line="124"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Macroeconomic trends, including inflation, increased interest rates and trade policies could continue to adversely affect our business, results of operations or financial condition.</w:t>
      </w:r>
    </w:p>
    <w:p>
      <w:pPr>
        <w:spacing w:after="0" w:line="10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Global economic events and other factors, such as accommodative monetary and fiscal policy and the impacts of the COVID-19 pandemic, have contributed to significant inflation in many of the markets in which we operate. In particular, inflation in the United States, Europe and other geographies has risen to levels not experienced in recent decades and we are seeing its impact on various aspects of our business, which in some cases have, or could in the future, negatively affect our business and financial condition. In order to combat inflation and restore price stability, a number of central banks around the world have raised interest rates and are expected to keep increasing interest rates in 2023. Increased inflation and interest rates may hinder the economic growth in a number of markets where we do business, and has had, and may continue to have, far reaching effects on the global economy. This weakness in the economy and the possibility of a global recession has had, and may continue to have, a negative effect on our business and financial condition, including on the value of our ordinary shares.</w:t>
      </w:r>
    </w:p>
    <w:p>
      <w:pPr>
        <w:spacing w:after="0" w:line="13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Moreover, U.S. and global economic conditions have created market uncertainty and volatility. Such general economic conditions, such as inflation, stagflation, political volatility, costs of labor, cost of capital, interest rates and tax rates, affect our operating and general and administrative expenses, and we have no control or limited ability to control such factors. If our costs grow significantly in excess of our ability to raise revenue, our margins and results of operations may be materially and adversely impacted and we may not be able to achieve our strategic and financial objectives. These conditions also affect our clients’ businesses and the markets that they serve and may reduce demand for our services, increase demands for pricing accommodations or cause a higher rate of delays in the collection of, or losses on, our accounts receivable, which could adversely affect our results of operations.</w:t>
      </w:r>
    </w:p>
    <w:p>
      <w:pPr>
        <w:spacing w:after="0" w:line="13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Further, the continued slowdown in the global economy, including a recession, or in a particular region or industry, inflation or a tightening of the credit markets could negatively impact our business, financial condition and liquidity, including our ability to continue to access preferred sources of liquidity when we would like, and our borrowing costs could increase. In particular, further tightening of the credit markets could limit our ability to obtain external financing to fund our operations and capital expenditures, if and when needed. In addition, we could experience losses on our holdings of cash and investments due to failures of financial institutions and other parties. Thus, a continued deterioration or prolonged period of negative or stagnant macroeconomic conditions in the U.S. and globally could adversely affect our business, results of operations or financial condition.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auto"/>
        </w:rPr>
        <w:t>Human Capital Risks</w:t>
      </w:r>
    </w:p>
    <w:p>
      <w:pPr>
        <w:spacing w:after="0" w:line="17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the continued services of our executive officers, senior management team, and skilled individual contributors, and any changes in our management structure and in senior leadership could affect our business and financial results.</w:t>
      </w:r>
    </w:p>
    <w:p>
      <w:pPr>
        <w:spacing w:after="0" w:line="10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success and future performance has depended largely upon the continued services of our executive officers, senior management, and other highly skilled personnel. We have relied on our leadership team to execute on our business plan, for strategy, growth, research and development, marketing, sales, provision, maintenance, and support of our products and services, and general and administrative functions, and on mission-critical individual contributors. From time to time, our executive management team and the groups of skilled individual contributors may change from the hiring or departure of executive officers or such contributors, which could disrupt our business. The employment agreements with our executive officers (to the extent our officers are party to such agreements) and other key personnel will not require them to continue to work for us for any specified period; therefore, they could terminate their employment at any time. The loss of one or more of our executive officers, senior management, or other key employees (including any limitation on the performance of their duties or short-term or long-term absences as a result of COVID-19) could significantly delay or prevent the achievement of our development and strategic objectives.</w:t>
      </w:r>
    </w:p>
    <w:p>
      <w:pPr>
        <w:spacing w:after="0" w:line="13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 leadership transition may also increase the likelihood of turnover among our employees and result in changes in our business strategy, which may create uncertainty and negatively impact our ability to execute our business strategy quickly and effectively. Leadership transitions may also impact our relationships with customers and other market participants, and create uncertainty among investors, employees, and others concerning our future direction and performance. Any significant disruption, uncertainty or change in business strategy could adversely affect our business, operating results and financial condition.</w:t>
      </w:r>
    </w:p>
    <w:p>
      <w:pPr>
        <w:spacing w:after="0" w:line="12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key colleagues or a large number of colleagues could damage or result in the loss of client relationships and could result in such colleagues competing against us.</w:t>
      </w:r>
    </w:p>
    <w:p>
      <w:pPr>
        <w:spacing w:after="0" w:line="10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success depends on our ability to attract, retain and motivate qualified personnel, including key managers and colleagues. In addition, our success largely depends upon our colleagues’ abilities to generate business and provide quality services. Our ability to provide services our clients demand requires such skills and training, in insurance, actuarial, human resources and other areas, which are also in high demand among our competitors. The market for employees in our industry is extremely competitive, and competitors for talent increasingly attempt to hire, and to varying degrees have been successful in hiring, our employees or employment candidates. In particular, our colleagues’ business relationships with our clients are a critical element of obtaining and maintaining client engagements. Labor markets have continued to tighten globally, and we have experienced intense competition and increased costs for certain types of colleagues, especially as new entrants in the insurance business (among others) continue to expend significant resources in their own hiring. Also, in the past, including following the announcement and the termination of the proposed Aon plc combination, we have lost colleagues who manage substantial client relationships or possess substantial experience or expertise; if we lose additional colleagues such as those, or if we lose a large number of other colleagues, it could result in such colleagues competing against us. Voluntary attrition in a number of business lines remains elevated, and it may take longer than expected to hire new colleagues to replace colleagues who have left and/or these new colleagues may be subject to restrictive covenants that impact the amount of business they can generate while those covenants are in effect. Further, the increased availability of remote working arrangements has also expanded the pool of companies that can compete for our employees and employment candidates. Our operational transformation efforts require us to attract, onboard, and retain individuals relevant for those efforts and we may not be able to do that successfully. The failure to successfully attract and retain qualified personnel could materially adversely affect our ability to secure and complete engagements or could disrupt our business or cause increased operational risk, which would materially adversely affect our results of operations and prospects.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maintain our corporate culture, including in a remote or hybrid work environment, could damage our reputation.</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aim to foster a culture that is based on a strong client focus, an emphasis on teamwork, integrity, mutual respect and striving for excellence. Our colleagues are the cornerstone of this culture, and acts of misconduct by any colleague, and particularly by senior management, could erode trust and confidence and damage our reputation among existing and potential clients and other stakeholders. Our business is managing people, risk and capital, and our success depends on our ability to develop and promote an ethical culture of trust, integrity and other important qualities in which our colleagues are comfortable speaking up about potential misconduct. While we do not believe we have experienced any material adverse cultural impacts as a result of our remote and hybrid work environment, this may manifest over time. As a result, remote and hybrid work arrangements may negatively impact our ability to maintain and promote our culture and increase related risks.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Intellectual Property, Technology, Cybersecurity and Data Protection Risks</w:t>
      </w:r>
    </w:p>
    <w:p>
      <w:pPr>
        <w:spacing w:after="0" w:line="17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Data and cyber security breaches or improper disclosure of confidential company or personal data could result in material financial loss, regulatory actions, reputational harm, and/or legal liability.</w:t>
      </w:r>
    </w:p>
    <w:p>
      <w:pPr>
        <w:spacing w:after="0" w:line="10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depend on information technology networks and systems to process, transmit and store electronic information and to communicate among our locations around the world and with our alliance partners, insurance carriers/markets, clients and third-party vendors. Additionally, one of our significant responsibilities is to maintain the security and privacy of our clients’ confidential and proprietary information and the personal data of their customers and employees. Our information systems, and those of our third-party service providers and vendors, are vulnerable to an increasing threat of continually evolving cybersecurity risks. We are the target of computer viruses, hackers, distributed denial of service attacks, malware infections, ransomware attacks, phishing and spear-phishing campaigns, and/or other external hazards, as well as improper or inadvertent workforce behavior which, could expose confidential company and personal data systems and information to security breaches.</w:t>
      </w:r>
    </w:p>
    <w:p>
      <w:pPr>
        <w:spacing w:after="0" w:line="13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Many of the software applications that we use in our business are licensed from, and supported, upgraded and maintained by, third-party vendors. Our third-party applications include, but are not limited to, enterprise cloud storage and cloud computing application services provided and maintained by third-party vendors. These third-party applications store or may afford access to confidential and proprietary data of the Company, our employees and our clients. We have processes designed to require third-party vendors that provide IT outsourcing, offsite storage and other services to agree to maintain certain standards with respect to the storage, protection and transfer of confidential, personal and proprietary information. However, this data is at risk of compromise or unauthorized access or use in the event of a breakdown of a vendor’s data protection processes, a data breach due to the intentional or unintentional non-compliance by a vendor’s employee or agent, or as a result of a cyber-attack on the product, software or information systems of a vendor in our software supply chain. Any compromise of the product, software, data or infrastructure of a Company vendor, including a software or IT vendor in our supply chain, could in turn result in the compromise of Company data or infrastructure or result in material operational disruption. Further, the risk and potential impact of a data breach on our third-party vendors’ products, software or systems increase as we move more of our data and our clients’ data into our vendors’ cloud storage, engage in IT outsourcing, and consolidate the group of third-party vendors that provide cloud storage or other IT services for the Company. Over time, the frequency, severity and sophistication of the attacks against us and our vendors have increased, including due to the use of artificial intelligence for purposes of cybercrime, and the broader range of threat actors, including state-sponsored actors and hacker activists.</w:t>
      </w:r>
    </w:p>
    <w:p>
      <w:pPr>
        <w:spacing w:after="0" w:line="141"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We and our vendors regularly experience cybersecurity incidents, including successful attacks from time to time, and we expect that to continue going forward. Cybersecurity incidents include those resulting from human error or malfeasance, implantation of malware and viruses, phishing and spear-phishing attacks, unauthorized access to our information technology networks and systems, and unauthorized access to data or individual account funds through fraud or other means of deceiving our colleagues, clients, third-party service providers and vendors. We have experienced successful attacks, by various types of hacking groups, in which personal and commercially sensitive information, belonging to the Company or its clients, has been compromised. However, none of these cybersecurity incidents or attacks to our knowledge have been material to our business or financial results. We cannot assure that such cybersecurity incidents or attacks will not have a material impact on our business or financial results in the future. When required by law, we have notified individuals, clients and relevant regulatory authorities (such as insurance/financial services regulators and privacy regulators) of such cybersecurity incidents or attacks.</w:t>
      </w:r>
    </w:p>
    <w:p>
      <w:pPr>
        <w:spacing w:after="0" w:line="13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maintain policies, procedures and administrative, physical and technological safeguards (such as, where in place, multifactor authentication and encryption of data in transit and at rest) designed to protect the security and privacy of the data in our custody and control. However, such safeguards are time-consuming and expensive to deploy broadly and are not necessarily always in place or effective, and we cannot entirely eliminate the risk of data security breaches, improper access to, takeover of or disclosure of confidential company or personally identifiable information. We may not be able to detect and assess such issues, or implement appropriate mitigation or remediation, in a timely manner. We are engaged in an ongoing effort to enhance our protections against such attacks; this effort will require significant expenditures and may not be successful. Our technology may fail to adequately secure the private information we hold and protect it from theft, computer viruses, hackers or inadvertent loss.</w:t>
      </w:r>
    </w:p>
    <w:p>
      <w:pPr>
        <w:spacing w:after="0" w:line="12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If any person, including any of our colleagues, intentionally or unintentionally fails to comply with, disregards or intentionally breaches our established controls with respect to such data or otherwise mismanages or misappropriates that data, we could be subject to monetary damages, fines, regulatory enforcement, and/or criminal prosecution. Unauthorized disclosure of sensitive or confidential client, supplier or employee data, whether through systems failure, accident, employee negligence, fraud or misappropriation, could damage our reputation and cause us to lose clients. Similarly, unauthorized access to or through our information systems or those we develop for our clients, whether by our colleagues or third parties, could result in significant additional expenses (including expenses relating to incident response and investigation, remediation work, notification of data security breaches and costs of credit monitoring services), negative publicity, operational disruption, legal liability and/or damage to our reputation, as well as require substantial resources and effort of management, thereby diverting management’s focus and resources from business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27" w:name="page28"/>
    <w:bookmarkEnd w:id="27"/>
    <w:p>
      <w:pPr>
        <w:ind w:right="80"/>
        <w:spacing w:after="0" w:line="255" w:lineRule="auto"/>
        <w:rPr>
          <w:sz w:val="20"/>
          <w:szCs w:val="20"/>
          <w:color w:val="auto"/>
        </w:rPr>
      </w:pPr>
      <w:r>
        <w:rPr>
          <w:rFonts w:ascii="Times New Roman" w:cs="Times New Roman" w:eastAsia="Times New Roman" w:hAnsi="Times New Roman"/>
          <w:sz w:val="18"/>
          <w:szCs w:val="18"/>
          <w:color w:val="auto"/>
        </w:rPr>
        <w:t>The methods used to obtain unauthorized access to, disable or degrade service or sabotage the Company’s systems are also constantly evolving, are increasingly sophisticated, and may be difficult to anticipate or detect. For example, the U.S. Federal Bureau of Investigation, the Cybersecurity and Infrastructure Security Agency, and other U.S. federal agencies continue to issue warnings about trends in cybercriminal and nation-state activity and other threats that are consistent with some of the types of incidents we have experienced. To our knowledge, these incidents have not had a material impact on our business or operations thus far. However, our reputation could be harmed and our business and results of operations could be materially and adversely affected if we were to be the target of such attacks in the future, or if, despite our controls and efforts to detect breaches, we were to be the victim of an undetected breach.</w:t>
      </w:r>
    </w:p>
    <w:p>
      <w:pPr>
        <w:spacing w:after="0" w:line="13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have implemented and regularly review and update processes and procedures to protect against fraud and unauthorized access to and use of secured data and to prevent data loss. The ever-evolving threats mean that we and our third-party service providers and vendors must continually evaluate, adapt, enhance and otherwise improve our respective systems and processes, especially as we grow our mobile, cloud and other internet-based services. There is no guarantee that such efforts will be adequate to safeguard against all fraud, data security breaches, unauthorized access, operational impacts or misuses of data. For example, our policies, employee training (including phishing prevention training), procedures and technical safeguards may be insufficient to prevent or detect improper access to confidential, personal or proprietary information by employees, vendors or other third parties with otherwise legitimate access to our systems. In addition, we may not be able to implement such efforts as quickly as desired if, for example, greater resources are required than originally expected or resources and management’s focus are insufficient. Any future significant compromise or breach of our data security or fraud, whether external or internal, or misuse of client, colleague, supplier or company data, could result in additional significant costs, lost revenue opportunities, disruption of operations and service, fines, lawsuits, and damage to our reputation with our clients and in the broader market</w:t>
      </w:r>
      <w:r>
        <w:rPr>
          <w:rFonts w:ascii="Times New Roman" w:cs="Times New Roman" w:eastAsia="Times New Roman" w:hAnsi="Times New Roman"/>
          <w:sz w:val="18"/>
          <w:szCs w:val="18"/>
          <w:b w:val="1"/>
          <w:bCs w:val="1"/>
          <w:i w:val="1"/>
          <w:iCs w:val="1"/>
          <w:color w:val="auto"/>
        </w:rPr>
        <w:t>.</w:t>
      </w:r>
    </w:p>
    <w:p>
      <w:pPr>
        <w:spacing w:after="0" w:line="13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comply with complex and evolving laws and regulations related to data privacy and cybersecurity could result in material financial loss, regulatory actions, reputational harm, and/or legal liability.</w:t>
      </w:r>
    </w:p>
    <w:p>
      <w:pPr>
        <w:spacing w:after="0" w:line="10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We are subject to numerous laws and regulations in the U.S. and foreign jurisdictions, only certain of which are named here, designed to protect the personally identifiable information of client and company constituents and suppliers, notably the European Union’s General Data Protection Regulation (‘GDPR’), which became effective on May 25, 2018, the California Consumer Privacy Act and its implementing regulations (‘CCPA’), which became effective on January 1, 2020, and the Virginia Consumer Data Protection Act (‘VCDPA’), which became effective on March 2, 2021. We are also subject to regulations from other countries that prohibit or restrict the transmission of data outside of such countries’ borders, and to various U.S. federal and state laws governing the protection of health, financial or other individually identifiable information. The GDPR, as well as other more recently-enacted privacy laws, significantly increased our responsibilities when handling personal data including, without limitation, requiring us to conduct privacy impact assessments, restricting the transmission of data, and requiring public disclosure of significant data breaches. Violations of the GDPR may result in possible fines of up to 4% of global annual turnover for the preceding financial year or €20 million (whichever is higher). A July 2020 judgment by the Court of Justice of the European Union on </w:t>
      </w:r>
      <w:r>
        <w:rPr>
          <w:rFonts w:ascii="Times New Roman" w:cs="Times New Roman" w:eastAsia="Times New Roman" w:hAnsi="Times New Roman"/>
          <w:sz w:val="18"/>
          <w:szCs w:val="18"/>
          <w:i w:val="1"/>
          <w:iCs w:val="1"/>
          <w:color w:val="auto"/>
        </w:rPr>
        <w:t>Schrems II</w:t>
      </w:r>
      <w:r>
        <w:rPr>
          <w:rFonts w:ascii="Times New Roman" w:cs="Times New Roman" w:eastAsia="Times New Roman" w:hAnsi="Times New Roman"/>
          <w:sz w:val="18"/>
          <w:szCs w:val="18"/>
          <w:color w:val="auto"/>
        </w:rPr>
        <w:t xml:space="preserve"> has made cross border data transfers to organizations outside the European Economic Area more onerous and uncertain. Further, as a result of the U.K.’s withdrawal from the European Union (‘Brexit’), the data transfer regime between the U.K. and the European Economic Area is subject to some uncertainty if the U.K.’s data strategy diverges from the E.U.’s in the coming years. The Company is also subject to numerous U.S. and foreign marketing and telecommunications laws and regulations designed to protect consumers from unwanted or fraudulent communications. A violation of any such law may lead to litigation or regulatory liability, including substantial financial damages or fines.</w:t>
      </w:r>
    </w:p>
    <w:p>
      <w:pPr>
        <w:spacing w:after="0" w:line="167"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7"/>
          <w:szCs w:val="17"/>
          <w:color w:val="auto"/>
        </w:rPr>
        <w:t>Laws and regulations in this area are evolving and generally becoming more stringent, including, without limitation, the U.S. Health Insurance Portability and Accountability Act of 1996 (‘HIPAA’), enforced by the Office for Civil Rights within the Department of Health and Human Services, and the New York State Department of Financial Services’ cybersecurity regulations outlining required security measures for the protection of data. Certain U.S. states have also recently enacted laws requiring certain data security and privacy measures of regulated entities, notably the CCPA and VDCPA. We expect that other U.S. states and other countries will follow in implementing their own data privacy and data security laws. For example, Brazil recently enacted the Lei Geral de Proteção de Dados Pessoais, a national data protection law modeled on the GDPR. The People’s Republic of China and India, among other countries, are also expected to enact data protection laws that could, among other things, restrict data transfers out of each of those countries.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Each of these evolving laws and regulations, in the United States and abroad, as well as laws applicable to the Company that are not named here, may be subject to evolving and conflicting interpretations, restrict the manner in which we provide services to our clients, divert resources from other important initiatives, increase the risk of non-compliance, impose significant compliance and other costs that are likely to increase over time, and increase the risk of fines, lawsuits or other potential liability, all of which could have a material adverse effect on our business and results of operations. Our failure to adhere to or successfully develop processes in response to legal or regulatory requirements, including legal or regulatory requirements that may be developed or revised due to</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28" w:name="page29"/>
    <w:bookmarkEnd w:id="28"/>
    <w:p>
      <w:pPr>
        <w:ind w:right="100"/>
        <w:spacing w:after="0" w:line="281" w:lineRule="auto"/>
        <w:rPr>
          <w:sz w:val="20"/>
          <w:szCs w:val="20"/>
          <w:color w:val="auto"/>
        </w:rPr>
      </w:pPr>
      <w:r>
        <w:rPr>
          <w:rFonts w:ascii="Times New Roman" w:cs="Times New Roman" w:eastAsia="Times New Roman" w:hAnsi="Times New Roman"/>
          <w:sz w:val="18"/>
          <w:szCs w:val="18"/>
          <w:color w:val="auto"/>
        </w:rPr>
        <w:t>economic or geopolitical changes such as Brexit, and changing customer expectations in this area, could result in substantial legal liability and impairment to our reputation or business.</w:t>
      </w:r>
    </w:p>
    <w:p>
      <w:pPr>
        <w:spacing w:after="0" w:line="10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addition to government regulation, privacy advocates and industry groups may propose new and different self-regulatory standards that either legally or contractually apply to us. We also expect that there will continue to be new proposed laws and regulations concerning privacy, data protection and information security, but cannot yet determine the impact such future laws, regulations and standards may have on our business. New laws, amendments to or re-interpretations of existing laws and regulations, industry standards, contractual obligations and other obligations may require us to incur additional costs and restrict our business operations. Because the interpretation and application of laws and other obligations relating to privacy and data protection are still uncertain, it is possible that these laws and other obligations may be interpreted and applied in a manner that is inconsistent with our existing data management practices. If so, in addition to the possibility of fines, lawsuits and other claims, we could be required to fundamentally change our business activities and practices, which could harm our business. We may be unable to make such changes and modifications in a commercially reasonable manner or at all. Any inability to adequately address privacy concerns, even if unfounded, or comply with applicable privacy or data protection laws, regulations and policies, could result in additional cost and liability, damage to our reputation, or harm to our business.</w:t>
      </w:r>
    </w:p>
    <w:p>
      <w:pPr>
        <w:spacing w:after="0" w:line="13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successfully mitigate and recover should we experience a disaster or other business continuity problem could cause material financial loss, loss of human capital, regulatory actions, reputational harm, and/or legal liability.</w:t>
      </w:r>
    </w:p>
    <w:p>
      <w:pPr>
        <w:spacing w:after="0" w:line="1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Should we or a third party on whom we rely experience a disaster or other business continuity problem, such as an earthquake, hurricane, terrorist attack, pandemic, including prolonged effects of the COVID-19 pandemic, security breach, ransomware or destructive malware attack, power loss, telecommunications failure or other natural or man-made disaster, our continued success will depend, in part, on the availability of our personnel, our office facilities, our outsourcing providers or other vendors, access to data, and the proper functioning of our computer, telecommunication and other related systems and operations. In such an event, we could experience operational challenges with regard to our operations.</w:t>
      </w:r>
    </w:p>
    <w:p>
      <w:pPr>
        <w:spacing w:after="0" w:line="12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A disaster on a significant scale or affecting certain of our key operating areas within or across regions, or our inability to successfully recover should we experience a disaster or other business continuity problem, could materially interrupt our business operations and cause material financial loss, loss of human capital, regulatory actions, reputational harm, damaged client relationships or legal liability, particularly if any of these problems occur during peak times.</w:t>
      </w:r>
    </w:p>
    <w:p>
      <w:pPr>
        <w:spacing w:after="0" w:line="12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Material interruption to or loss of our information processing capabilities or failure to effectively maintain and upgrade our information processing hardware or systems could cause material financial loss, regulatory actions, reputational harm, and/or legal liability.</w:t>
      </w:r>
    </w:p>
    <w:p>
      <w:pPr>
        <w:spacing w:after="0" w:line="10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Our business depends significantly on effective information systems. Our capacity to service our clients relies on effective storage, retrieval, processing and management of information. Our information systems also rely on the commitment of significant financial and other resources to maintain and enhance existing systems, develop and create new systems and products in order to keep pace with continuing changes in information processing technology or evolving industry and regulatory standards. We rely on being at the forefront of a range of technology options relevant to our business, including by staying ahead of the technology offered by our competitors, and attracting, developing, and retaining skilled individuals in the cybersecurity space. The market for such qualified individuals is competitive and we may be unable to hire the necessary talent to mitigate the foregoing risks.</w:t>
      </w:r>
    </w:p>
    <w:p>
      <w:pPr>
        <w:spacing w:after="0" w:line="12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addition, many of the software applications, including enterprise cloud storage and cloud computing application services, that we use in our business are licensed from, and supported, upgraded and maintained by, third-party vendors. We are significantly increasing our use of such cloud services and expect this to continue over time. These third-party applications store confidential and proprietary data of the Company, our clients and our employees. A suspension or termination of certain of these licenses or the related support, upgrades and maintenance could cause temporary system delays or interruptions that could adversely impact our business. As a global organization, we occasionally acquire other companies or divest certain of our existing business lines and companies. These strategic business decisions may require us to manage complex integrations or dissolutions of information systems or the transfer of information from one system to another, and we may fail to identify vulnerabilities in our targets’ information systems or in integrated components of our respective information systems. These transactions may make us more susceptible to cyberattacks and could result in the theft of Company intellectual property, the compromise of Company, employee, and client data or operational disruption.</w:t>
      </w:r>
    </w:p>
    <w:p>
      <w:pPr>
        <w:spacing w:after="0" w:line="13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Any finding that the data we rely on to run our business is inaccurate or unreliable, that we fail to maintain effective and efficient systems (including through a telecommunications failure, failure to replace or update redundant or obsolete computer hardware, applications or software systems, or the loss of skilled people with the knowledge needed to operate older systems), or that we</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experience cost overruns, delays, or other disruptions, could result in material financial loss, regulatory action, reputational harm or legal liability.</w:t>
      </w:r>
    </w:p>
    <w:p>
      <w:pPr>
        <w:spacing w:after="0" w:line="16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Limited protection of our intellectual property could harm our business and our ability to compete effectively, and we face the risk that our services or products may infringe upon the intellectual property rights of others.</w:t>
      </w:r>
    </w:p>
    <w:p>
      <w:pPr>
        <w:spacing w:after="0" w:line="10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cannot guarantee that trade secret, trademark, and copyright law protections, or our internal policies and procedures regarding our management of intellectual property, are adequate to deter misappropriation of our intellectual property (including our software, which may become an increasingly important part of our business). Existing laws of some countries in which we provide services or products may offer only limited protection of our intellectual property rights. Also, we may be unable to detect the unauthorized use of our intellectual property and take the necessary steps to enforce our rights, which may have a material adverse impact on our business, financial condition or results of operations. We cannot be sure that our services and products, or the products of others that we offer to our clients, do not infringe on the intellectual property rights of third parties, and we may have infringement claims asserted against us or our clients. These claims may harm our reputation, result in financial liability, consume financial resources to pursue or defend, and prevent us from offering some services or products. In addition, these claims, whether with or without merit, could be expensive, take significant time and divert management’s focus and resources from business operations. Successful challenges against us could require us to modify or discontinue our use of technology or business processes where such use is found to infringe or violate the rights of others, or require us to purchase licenses from third parties, any of which could adversely affect our business, financial condition and operating results.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Non-Financial/Regulatory and Compliance Risks</w:t>
      </w:r>
    </w:p>
    <w:p>
      <w:pPr>
        <w:spacing w:after="0" w:line="17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we receive claims and are party to lawsuits arising from our work, which could materially adversely affect our reputation, business and financial condition.</w:t>
      </w:r>
    </w:p>
    <w:p>
      <w:pPr>
        <w:spacing w:after="0" w:line="10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depend in large part on our relationships with clients and our reputation for high-quality services to secure future engagements. Clients that become dissatisfied with our services may terminate their business relationships with us, and clients and third parties that claim they suffered damages caused by our services may bring lawsuits against us. We are subject to various actual and potential claims, lawsuits, investigations and other proceedings relating principally to alleged errors and omissions in connection with the provision of our services or the placement of insurance and reinsurance in the ordinary course of business. We are also subject to actual and potential claims, lawsuits, investigations and proceedings outside of errors and omissions claims. See Note 15 - Commitments and Contingencies within Item 8 of this Annual Report on Form 10-K for examples of claims to which we are subject.</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Because we often assist our clients with matters involving substantial amounts of money and complex regulatory requirements, including actuarial services, asset management, technology solutions development and implementation and the placement of insurance coverage and the handling of related claims, errors and omissions claims against us may arise that allege our potential liability for all or part of the substantial amounts in question. The nature of our work, particularly our actuarial services, necessarily involves the use of assumptions and the preparation of estimates relating to future and contingent events, the actual outcome of which we cannot know in advance. Our actuarial and brokerage services also rely on substantial amounts of data provided by clients, the accuracy and quality of which we may not be able to ensure. In addition, we could make computational, software programming or data management errors in connection with the services we provide to clients.</w:t>
      </w:r>
    </w:p>
    <w:p>
      <w:pPr>
        <w:spacing w:after="0" w:line="13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Clients may seek to hold us responsible for alleged errors or omissions relating to any of the brokerage advice and services we provide, including when claims they submit to their insurance carriers are disputed or denied. This risk is likely to be higher in circumstances, such as claims related to COVID-19 (some of which have already emerged), where there are significant disputes between clients and insurance carriers over coverage and clients allege claims against us. This risk also may be higher in circumstances where we have significant numbers of departures or new joiners or other disruptions to our business, such as changes in ways of working. Given that many of our clients have very high insurance policy limits to cover their risks, alleged errors and omissions claims against us arising from disputed or denied claims are often significant. Moreover, in certain circumstances, our brokerage, investment and certain other types of business may not limit the maximum liability to which we may be exposed for claims involving alleged errors or omissions; and as such, we do not have limited liability for the work we provide to the associated clients.</w:t>
      </w:r>
    </w:p>
    <w:p>
      <w:pPr>
        <w:spacing w:after="0" w:line="13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Further, given that we frequently work with large pension funds and insurance companies as well as other large clients, relatively small percentage errors or variances can create significant financial variances and result in significant claims for unintended or unfunded liabilities. The risks from such variances or errors could be aggravated in an environment of declining pension fund asset values and insurance company capital levels. In almost all cases, our exposure to liability with respect to a particular engagement is substantially greater than the revenue opportunity that the engagement generates for us.</w:t>
      </w:r>
    </w:p>
    <w:p>
      <w:pPr>
        <w:spacing w:after="0" w:line="128"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Clients may seek to hold us responsible for the financial consequences of variances between assumptions and estimates and actual outcomes or for errors. For example, in the case of pension plan actuarial work, a client’s claims might focus on the client’s alleged reliance on actuarial assumptions that it believes were unreasonable and, based on such reliance, the client made benefit commitments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color w:val="auto"/>
        </w:rPr>
        <w:t>that it may later claim are not affordable or funding decisions that result in plan underfunding if and when actual outcomes vary from actuarial assumptions.</w:t>
      </w:r>
    </w:p>
    <w:p>
      <w:pPr>
        <w:spacing w:after="0" w:line="18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We also continue to create new products and services (including increasingly complex technology solutions) and to grow the business of providing products and services to institutional investors, financial services companies and other clients. The risk of claims from these lines of business and related products and services may be greater than from our core products or services, and such claims may be for significant amounts as we take on increasingly complicated projects, including those with complex regulatory requirements.</w:t>
      </w:r>
    </w:p>
    <w:p>
      <w:pPr>
        <w:spacing w:after="0" w:line="12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also provide advice on both asset allocation and selection of investment managers. Increasingly, for many clients, we are responsible for making decisions on both of these matters, or we may serve in a fiduciary capacity, either of which may increase liability exposure. In addition, the Company offers affiliated investment funds, including in the U.S. and Ireland, with plans to launch additional funds over time. Given that our Investments business may recommend affiliated investment funds or affirmatively invest such clients’ assets in such funds under delegated authority, this may increase our liability exposure. We may also be liable for actions of managers or other service providers to the funds. Further, for certain clients, we are responsible for some portions of cash and investment management, including rebalancing of investment portfolios and guidance to third parties on the structure of derivatives and securities transactions. Asset classes may experience poor absolute performance, and investment managers may underperform their benchmarks; in both cases the investment return shortfall can be significant. Clients experiencing this underperformance, including from our affiliated investment funds, may assert claims against us, and such claims may be for significant amounts. In addition, our failure to properly execute our role can cause monetary damage to our clients or such third parties for which we might be found liable, and such claims may be for significant amounts. Our expected expansion of this business geographically and in new offerings will subject us to additional contractual exposures and obligations with investors, asset managers and third-party service providers, as well as increased regulatory exposures. Overall, our ability to contractually limit our potential liability may be limited in certain jurisdictions or markets or in connection with claims involving breaches of fiduciary duties or other alleged errors or omissions.</w:t>
      </w:r>
    </w:p>
    <w:p>
      <w:pPr>
        <w:spacing w:after="0" w:line="14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ultimate outcome of all of the above matters cannot be ascertained and liabilities in indeterminate amounts may be imposed on us. In addition, our insurance coverage may not be sufficient in type or amount to cover us against such liabilities. It is thus possible that future results of operations or cash flows for any particular quarterly or annual period could be materially adversely affected by an unfavorable resolution of these matters. In addition, these matters continue to divert management and personnel resources away from operating our business. Even if we do not experience significant monetary costs, there may be adverse publicity associated with these matters that could result in reputational harm to the industries we operate in or to us in particular that may adversely affect our business, client or employee relationships. In addition, defending against these claims can involve potentially significant costs, including legal defense costs.</w:t>
      </w:r>
    </w:p>
    <w:p>
      <w:pPr>
        <w:spacing w:after="0" w:line="12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highly regulated company, we are subject from time to time to inquiries or investigations by governmental agencies or regulators that could have a material adverse effect on our business or results of operations.</w:t>
      </w:r>
    </w:p>
    <w:p>
      <w:pPr>
        <w:spacing w:after="0" w:line="10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have also been and may continue to be subject to inquiries and investigations by federal, state or other governmental agencies regarding aspects of our clients’ businesses or our own businesses, especially regulated businesses such as our insurance broker, securities broker-dealer and investment advisory services. Such inquiries or investigations may consume significant management time and result in regulatory sanctions, fines or other actions as well as significant legal fees, which could have a material adverse impact on our business, results of operations and liquidity. Also, we may face additional regulatory scrutiny as we expand our businesses geographically and in new products and services that we offer.</w:t>
      </w:r>
    </w:p>
    <w:p>
      <w:pPr>
        <w:spacing w:after="0" w:line="128"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Examples of these inquiries or investigations are set forth in more detail in Note 15 — Commitments and Contingencies within Item 8 of this Annual Report on Form 10-K. These include various ongoing civil investigation proceedings in respect of alleged exchanges of commercially sensitive information among competitors in aviation and aerospace insurance and reinsurance broking.</w:t>
      </w:r>
    </w:p>
    <w:p>
      <w:pPr>
        <w:spacing w:after="0" w:line="123"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All of these items reflect an increased focus by regulators (in the U.K., U.S., and elsewhere) on various aspects of the operations and affairs of our regulated businesses. We are unable to predict the outcome of these inquiries or investigations. Any proposed changes that result from these investigations and inquiries, or any other investigations, inquiries or regulatory developments, or any potential fines or enforcement action, could materially adversely affect our business and our results of operations.</w:t>
      </w:r>
    </w:p>
    <w:p>
      <w:pPr>
        <w:spacing w:after="0" w:line="12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conducting our businesses around the world, we are subject to political, economic, legal, regulatory, cultural, market, operational and other risks that are inherent in operating in many countries.</w:t>
      </w:r>
    </w:p>
    <w:p>
      <w:pPr>
        <w:spacing w:after="0" w:line="104"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In conducting our businesses and maintaining and supporting our global operations, we are subject to political, economic, legal, regulatory, market, operational and other risks. Our businesses and operations continue to expand into new regions throughout the world, including emerging markets. The possible effects of political, economic, financial and climate change related disruptions throughout the world could have an adverse impact on our businesses and financial results. These risks include:</w:t>
      </w:r>
    </w:p>
    <w:p>
      <w:pPr>
        <w:spacing w:after="0" w:line="128" w:lineRule="exact"/>
        <w:rPr>
          <w:sz w:val="20"/>
          <w:szCs w:val="20"/>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economic and political conditions in the U.S. and foreign countries (including political and social unrest in certain regions);</w:t>
      </w:r>
    </w:p>
    <w:p>
      <w:pPr>
        <w:spacing w:after="0" w:line="224"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31" w:name="page32"/>
    <w:bookmarkEnd w:id="31"/>
    <w:p>
      <w:pPr>
        <w:ind w:left="760" w:right="580" w:hanging="378"/>
        <w:spacing w:after="0" w:line="281"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controls or limitations on the conversion of foreign currencies or remittance of dividends and other payments by foreign subsidiaries;</w:t>
      </w:r>
    </w:p>
    <w:p>
      <w:pPr>
        <w:spacing w:after="0" w:line="10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sanctions by both the U.S. and foreign governments;</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withholding and other taxes on remittances and other payments from subsidiaries;</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or increase of investment and other restrictions by foreign governments;</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or our tax rates;</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controlling operations and monitoring employees in geographically dispersed and culturally diverse locations; and</w:t>
      </w:r>
    </w:p>
    <w:p>
      <w:pPr>
        <w:spacing w:after="0" w:line="170" w:lineRule="exact"/>
        <w:rPr>
          <w:rFonts w:ascii="Times New Roman" w:cs="Times New Roman" w:eastAsia="Times New Roman" w:hAnsi="Times New Roman"/>
          <w:sz w:val="18"/>
          <w:szCs w:val="18"/>
          <w:color w:val="auto"/>
        </w:rPr>
      </w:pPr>
    </w:p>
    <w:p>
      <w:pPr>
        <w:ind w:left="760" w:right="60" w:hanging="378"/>
        <w:spacing w:after="0" w:line="256"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practical challenges and costs of complying, or monitoring compliance, with a wide variety of foreign laws (some of which are evolving or are not as well-developed as the laws of the U.S. or U.K. or which may conflict with U.S. or other sources of law), and regulations applicable to insurance brokers and other business operations abroad (in more than 140 countries, including many in emerging markets), including laws, rules and regulations relating to the conduct of business, trade sanction laws administered by the U.S. Office of Foreign Assets Control, the E.U., the U.K. and the United Nations (‘U.N.’), and the requirements of the U.S. Foreign Corrupt Practices Act (‘FCPA’), as well as other anti-bribery and corruption rules and requirements in all of the countries in which we operate.</w:t>
      </w:r>
    </w:p>
    <w:p>
      <w:pPr>
        <w:spacing w:after="0" w:line="12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Sanctions imposed by governments, or changes to such sanction regulations (such as sanctions imposed on Russia), and related counter-sanctions, could have a material adverse impact on our operations or financial results.</w:t>
      </w:r>
    </w:p>
    <w:p>
      <w:pPr>
        <w:spacing w:after="0" w:line="10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described above, our businesses are subject to the risk of sanctions imposed by the U.S., the E.U., the U.K. and other governments. In the past year, there was an increase in U.S. designations in relation to Russia and China (including recent sanctions imposed on Russia by the U.S. as well as the E.U. and U.K. due to Ukraine), and there has also been an increased risk of counter-sanctions in some locations, such as China and Russia in response to the recently imposed sanctions. Touchpoints with sanctioned individuals, entities or locations can be difficult to identify and, given the increased scope of complexity of sanctions, there is an increased risk of non-compliance. We have also seen a maturing of the U.K. sanctions regime, which has navigated a differing path from the E.U. and U.S. sanctions regimes but largely with the same objectives. A number of volatile geopolitical events are likely to affect the implementation of sanctions such as the change of regime in Afghanistan, the escalation of sanctions towards Belarus, Russia's invasion of Ukraine, the uncertainty around the Nord Stream 2 pipeline, negotiations between the E.U., U.S. and Iran over a new nuclear deal as well as the continuing trade war between the U.S. and China with their sanctions and subsequent counter-sanctions. Some of these jurisdictions, such as China, may be significant businesses for us. As a result, we cannot predict the impacts of any changes in the U.S., E.U., U.K. or other sanctions, and whether such changes could have a material adverse impact on our operations or financial results.</w:t>
      </w:r>
    </w:p>
    <w:p>
      <w:pPr>
        <w:spacing w:after="0" w:line="131"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will be negatively affected if we are not able to anticipate and keep pace with rapid changes in government laws or regulations, or if government laws or regulations decrease the need for our services or increase our costs.</w:t>
      </w:r>
    </w:p>
    <w:p>
      <w:pPr>
        <w:spacing w:after="0" w:line="10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A material portion of our revenue is affected by statutory or regulatory changes. An example of a statutory or regulatory change that could materially impact us is any change to the U.S. Patient Protection and Affordable Care Act (‘PPACA’), and the Healthcare and Education Reconciliation Act of 2010, (‘HCERA’), which we refer to collectively as ‘Healthcare Reform’. While the U.S. Congress has not passed legislation replacing or fundamentally amending Healthcare Reform (other than changes to the individual mandate), such legislation, or another version of Healthcare Reform, could be implemented in the future. In addition, some U.S. political candidates and representatives elected to office have expressed a desire to amend all or a portion of Healthcare Reform or otherwise establish alternatives to employer-sponsored health insurance or replace it with government-sponsored health insurance, often referred to as ‘Medicare for All’. If we are unable to adapt our services to potential new laws and regulations, or judicial modifications, with respect to Healthcare Reform or otherwise, our ability to provide effective services in these areas may be substantially impacted. In addition, more restrictive marketing rules or interpretations of the Centers for Medicare and Medicaid Services, or judicial decisions that restrict or otherwise change existing provisions of U.S. healthcare regulation, could have a material adverse impact on our healthcare-related businesses. In addition, as we implement and expand our direct-to-consumer sales and marketing solutions, we are subject to various federal and state laws and regulations that prescribe when and how we may market to consumers (including, without limitation, the Telephone Consumer Protection Act and other telemarketing laws and the Medicare Communications and Marketing Guidelines issued by the Center for Medicare Services (‘CMS’) of the U.S. Department of Health and Human Service). Federal and state legislators and/or regulators recently have expressed concerns about existing methods of marketing individual health policies, particularly Medicare Advantage and Medicare Supplement policies, and CMS has recently expanded its regulation and oversight of the marketing of Medicare Advantage policies. Changes to these laws and/or regulations could negatively affect our ability to market directly to consumers or increase our costs or liabilities.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32" w:name="page33"/>
    <w:bookmarkEnd w:id="32"/>
    <w:p>
      <w:pPr>
        <w:ind w:right="80"/>
        <w:spacing w:after="0" w:line="256" w:lineRule="auto"/>
        <w:rPr>
          <w:sz w:val="20"/>
          <w:szCs w:val="20"/>
          <w:color w:val="auto"/>
        </w:rPr>
      </w:pPr>
      <w:r>
        <w:rPr>
          <w:rFonts w:ascii="Times New Roman" w:cs="Times New Roman" w:eastAsia="Times New Roman" w:hAnsi="Times New Roman"/>
          <w:sz w:val="18"/>
          <w:szCs w:val="18"/>
          <w:color w:val="auto"/>
        </w:rPr>
        <w:t>Many other areas in which we provide services are the subject of government regulation, which is constantly evolving. For example, our activities in connection with insurance brokerage services are subject to regulation and supervision by national, state or other authorities. Insurance laws in the markets in which we operate are often complex and generally grant broad discretion to supervisory authorities in adopting regulations and supervising regulated activities. That supervision generally includes the licensing of insurance brokers and agents and the regulation of the handling and investment of client funds held in a fiduciary capacity. Our continuing ability to provide insurance brokerage in the markets in which we currently operate is dependent upon our compliance with the rules and regulations promulgated from time to time by the regulatory authorities in each of these locations.</w:t>
      </w:r>
    </w:p>
    <w:p>
      <w:pPr>
        <w:spacing w:after="0" w:line="13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Changes in government and accounting regulations in the U.S. and the U.K., two of our principal geographic markets, affecting the value, use or delivery of benefits and human capital programs, may materially adversely affect the demand for, or the profitability of, our various services. In addition, we have significant operations throughout the world, which further subject us to applicable laws and regulations of countries outside the U.S. and the U.K. Changes in legislation or regulations and actions by regulators in particular countries, including changes in administration and enforcement policies, could require operational improvements or modifications, which may result in higher costs or hinder our ability to operate our business in those countries.</w:t>
      </w:r>
    </w:p>
    <w:p>
      <w:pPr>
        <w:spacing w:after="0" w:line="124"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compliance systems and controls cannot guarantee that we comply with all applicable federal and state or foreign laws and regulations, and actions by regulatory authorities or changes in applicable laws and regulations in the jurisdictions in which we operate could have an adverse effect on our business.</w:t>
      </w:r>
    </w:p>
    <w:p>
      <w:pPr>
        <w:spacing w:after="0" w:line="1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activities are subject to extensive regulation under the laws of the U.S., the U.K., the E.U. and its member states, and the other jurisdictions around the world in which we operate. In addition, we own an interest in a number of associates and companies where we do not exercise management control. Over the last few years, regulators across the world are increasingly seeking to regulate brokers who operate in their jurisdictions. The foreign and U.S. laws and regulations applicable to our operations are complex, continually evolving and may increase the costs of regulatory compliance, limit or restrict the products or services we sell or subject our business to the possibility of regulatory actions or proceedings. These laws and regulations include insurance and financial industry regulations, antitrust and competition laws, economic and trade sanctions laws relating to countries in which certain subsidiaries do business or may do business (‘Sanctioned Jurisdictions’) such as Crimea, Cuba, Iran, Russia, Sudan, Syria and Venezuela, anti-corruption laws such as the FCPA, the U.K. Bribery Act 2010, and similar local laws prohibiting corrupt payments to governmental officials and the Foreign Account Tax Compliance provisions of the Hiring Incentives to Restore Employment Act in the U.S., as well as laws and regulations related to data privacy, cyber security and telemarketing. Because of changes in regulation and company practice, our non-U.S. subsidiaries are providing more services with connections to various countries, including some Sanctioned Jurisdictions, that our U.S. subsidiaries are unable to perform.</w:t>
      </w:r>
    </w:p>
    <w:p>
      <w:pPr>
        <w:spacing w:after="0" w:line="13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most jurisdictions, governmental and regulatory authorities have the ability to interpret and amend these laws and regulations and impose penalties for non-compliance, including sanctions, civil remedies, monetary fines, injunctions, revocation of licenses or approvals, suspension of individuals, limitations on business activities or redress to clients. While we believe that we have substantially increased our focus on the geographic breadth of regulations to which we are subject, maintain good relationships with our key regulators and our current systems and controls are adequate, we cannot assure that such systems and controls will prevent any violations of any applicable laws and regulations. While we strive to remain fully compliant with all applicable laws and regulations, we cannot guarantee that we will fully comply at all times with all laws and regulations, especially in countries with developing or evolving legal systems or with evolving or extra-territorial regulations. In particular, given the challenges of integrating operations, many of which are decentralized, we cannot assure that acquired or decentralized entities’ business systems and controls have prevented or will prevent any and all violations of applicable laws or regulations.</w:t>
      </w:r>
    </w:p>
    <w:p>
      <w:pPr>
        <w:spacing w:after="0" w:line="12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Allegations of conflicts of interest or anti-competitive behavior, including in connection with accepting market derived income (‘MDI’), may have a material adverse effect on our business, financial condition, results of operation or reputation.</w:t>
      </w:r>
    </w:p>
    <w:p>
      <w:pPr>
        <w:spacing w:after="0" w:line="10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ways in which insurance intermediaries are compensated receive scrutiny from regulators in part because of the potential for anti-competitive behavior and conflicts of interest. We could suffer significant financial or reputational harm if we fail to properly identify and manage any such potential conflicts of interest or allegations of anti-competitive behavior. Conflicts of interest exist or could exist any time the Company or any of its employees have or may have an interest in a transaction or engagement that is inconsistent with our clients’ interests. This could occur, for example, when the Company is providing services to multiple parties in connection with a transaction. In addition, as we provide more solutions-based services, there is greater potential for conflicts with advisory services. Managing conflicts of interest is an important issue for the Company, but can be a challenge for a large and complex company such as ours. Due to the broad scope of our businesses and our client base, we regularly address potential conflicts of interest, including, without limitation, situations where our services to a particular client or our own investments or other interests conflict, or are perceived to conflict, with the interests of another client. If these are not carefully managed, this could then lead to failure or perceived failure to protect the client’s interests, with attendant regulatory and reputational risks that could materially adversely affect us and our operations. There is no guarantee that all potential conflicts of interest will be identified, and undetected conflicts may result in damage to our professional reputation and result in legal liability which may have a material adverse effect on our business.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33" w:name="page34"/>
    <w:bookmarkEnd w:id="33"/>
    <w:p>
      <w:pPr>
        <w:ind w:right="80"/>
        <w:spacing w:after="0" w:line="281" w:lineRule="auto"/>
        <w:rPr>
          <w:sz w:val="20"/>
          <w:szCs w:val="20"/>
          <w:color w:val="auto"/>
        </w:rPr>
      </w:pPr>
      <w:r>
        <w:rPr>
          <w:rFonts w:ascii="Times New Roman" w:cs="Times New Roman" w:eastAsia="Times New Roman" w:hAnsi="Times New Roman"/>
          <w:sz w:val="18"/>
          <w:szCs w:val="18"/>
          <w:color w:val="auto"/>
        </w:rPr>
        <w:t>Identifying conflicts of interest may also prove particularly difficult as we continue to bring systems and information together and integrate newly acquired businesses. In addition, we may not be able to adequately address such conflicts of interest.</w:t>
      </w:r>
    </w:p>
    <w:p>
      <w:pPr>
        <w:spacing w:after="0" w:line="10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insurance intermediaries have traditionally been remunerated by base commissions paid by insurance carriers in respect of placements we make for clients, or by fees paid by clients. Intermediaries also obtain other revenue from insurance carriers. This revenue, when derived from carriers in their capacity as insurance markets (as opposed to as corporate clients of the intermediaries where they may be purchasing insurance or reinsurance or other non-market-related services), is commonly known as market derived income or ‘MDI’. MDI is another example of an area in which allegations of conflicts of interest may arise. MDI takes a variety of forms, including volume- or profit-based contingent commissions, facilities administration charges, business development agreements, and fees for providing certain data to carriers.</w:t>
      </w:r>
    </w:p>
    <w:p>
      <w:pPr>
        <w:spacing w:after="0" w:line="13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MDI creates various risks. Intermediaries in many markets have a duty to act in the best interests of their clients and payments from carriers can incentivize intermediaries to put carriers’ or their own interests ahead of their clients. Accordingly, MDI may be subject to scrutiny by various regulators under conflict of interest, anti-trust, unfair competition, conduct and anti-bribery laws and regulations. While accepting MDI is a lawful and acceptable business practice, and while we have established systems and controls to manage these risks, we cannot predict whether our position will result in regulatory or other scrutiny and our controls may not be effective.</w:t>
      </w:r>
    </w:p>
    <w:p>
      <w:pPr>
        <w:spacing w:after="0" w:line="12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the Company offers affiliated investment funds, with plans to launch additional funds over time. Given that our Investments business may recommend affiliated investment funds or affirmatively invest such clients’ assets in such funds under delegated authority, there may be a perceived conflict of interest. While the Company has processes, procedures and controls in place intended to mitigate potential conflicts, such perception could cause regulatory inquiries, or could impact client demand and the business’ financial performance, and our controls may not be effective. In addition, underperformance by our affiliated investment funds could lead to lawsuits by clients that were invested in such funds.</w:t>
      </w:r>
    </w:p>
    <w:p>
      <w:pPr>
        <w:spacing w:after="0" w:line="128"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The failure or perceived failure to adequately address actual or potential conflicts of interest or allegations of anti-competitive behavior could affect the willingness of clients to deal with us or give rise to litigation or enforcement actions. Conflicts of interest or anti-competitive activities may also arise in the future that could cause material harm to us.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and developments in the health insurance system in the United States could harm our business.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2010, the Federal government enacted significant reforms to healthcare legislation through Healthcare Reform. Many of our lines of business depend upon the private sector of the U.S. insurance system, its role in financing health care delivery, and insurance carriers’ use of, and payment of commissions to, agents, brokers and other organizations to market and sell individual and family health insurance plans. Healthcare Reform provisions have changed and will continue to change the industry in which we operate in substantial ways. Any changes to the roles of the private and public sectors in the health insurance system could also substantially change the industry.</w:t>
      </w:r>
    </w:p>
    <w:p>
      <w:pPr>
        <w:spacing w:after="0" w:line="12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Healthcare legislation and changes to government-funded healthcare programs remain a focus in Congress, while various aspects of Healthcare Reform have been challenged in the judicial system with some success. Any partial or complete repeal or amendment, judicial modifications or implementation difficulties, or uncertainty regarding such events, could increase our costs of compliance, prevent or delay future adoption or revisions to our business, and adversely impact our results of operations and financial condition. In addition, other members of Congress and certain state governments have expressed a desire to establish alternatives to employer-sponsored health insurance or replace it with government-sponsored health insurance, often referred to as ‘Medicare for All’. Given the uncertainties relating to the potential repeal and replacement of Healthcare Reform or other alternative proposals related to health insurance plans, the impact is difficult to determine, but it could have material negative effects on us, including:</w:t>
      </w:r>
    </w:p>
    <w:p>
      <w:pPr>
        <w:spacing w:after="0" w:line="133"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competition;</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or eliminating the need for health insurance agents and brokers or demand for the health insurance that we sell;</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decreasing the number of types of health insurance plans that we sell, as well as the number of insurance carriers offering such plans;</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insurance carriers to change the benefits and/or premiums for the plans they sell;</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insurance carriers to reduce the amount they pay for our services or change our relationship with them in other ways; or</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restricting our call center operations.</w:t>
      </w:r>
    </w:p>
    <w:p>
      <w:pPr>
        <w:spacing w:after="0" w:line="17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Any of these effects could materially harm our business and results of operations. For example, various aspects of Healthcare Reform could cause insurance carriers to limit the types of health insurance plans we are able to sell and the geographies in which we are able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34" w:name="page35"/>
    <w:bookmarkEnd w:id="34"/>
    <w:p>
      <w:pPr>
        <w:ind w:right="60"/>
        <w:spacing w:after="0" w:line="255" w:lineRule="auto"/>
        <w:rPr>
          <w:sz w:val="20"/>
          <w:szCs w:val="20"/>
          <w:color w:val="auto"/>
        </w:rPr>
      </w:pPr>
      <w:r>
        <w:rPr>
          <w:rFonts w:ascii="Times New Roman" w:cs="Times New Roman" w:eastAsia="Times New Roman" w:hAnsi="Times New Roman"/>
          <w:sz w:val="18"/>
          <w:szCs w:val="18"/>
          <w:color w:val="auto"/>
        </w:rPr>
        <w:t>to sell them. In addition, the U.S. Congress may seek to find spending cuts, and such cuts may include Medicare. If cuts are made to Medicare, there may be substantial changes in the types of health insurance plans we are able to sell, especially through our Individual Marketplace business, which focuses on direct-to-consumer Medicare policy sales. Further, changes in customer demand for these Medicare policies, particularly differences in customer persistency and renewals from what we have currently assumed, could cause us to write down receivable assets we have booked. Changes in the law could also cause insurance carriers to exit the business of selling insurance plans in a particular jurisdiction, to eliminate certain categories of products or to attempt to move members into new plans for which we receive lower commissions. If insurance carriers decide to limit our ability to sell their plans or determine not to sell individual health insurance plans altogether, our business, results of operations and financial condition would be materially harmed.</w:t>
      </w:r>
    </w:p>
    <w:p>
      <w:pPr>
        <w:spacing w:after="0" w:line="12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Increasing scrutiny and changing expectations from investors, clients and our colleagues with respect to our environmental, social and governance (‘ESG’) practices may impose additional costs on us or expose us to reputational or other risks.</w:t>
      </w:r>
    </w:p>
    <w:p>
      <w:pPr>
        <w:spacing w:after="0" w:line="10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There is increased focus, including from governmental organizations, investors, colleagues and clients, on ESG issues such as environmental stewardship, climate change, diversity and inclusion, racial justice and workplace conduct. Negative public perception, adverse publicity or negative comments in social media and other forums could damage our reputation if we do not, or are not perceived to, adequately address any one or more of these issues. Any harm to our reputation could impact colleague engagement and retention and the willingness of clients and others to do business with us.</w:t>
      </w:r>
    </w:p>
    <w:p>
      <w:pPr>
        <w:spacing w:after="0" w:line="12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Investors, in particular, have increased their emphasis on the ESG practices of companies across all industries, including with respect to climate and human capital management. Certain investors have developed their own ESG ratings while others use third-party benchmarks or scores to measure a company’s ESG practices and make investment decisions or otherwise engage with the company to influence its practices in these areas. Additionally, our clients may evaluate our ESG practices and/or request that we adopt certain ESG policies in order to work with us. Also, organizations that provide ratings information to certain investors on ESG matters may assign unfavorable ratings to the Company, which may lead to negative investor sentiment and the diversion of investment capital to other companies or industries, which could have a negative impact on our stock price and our costs of capital.</w:t>
      </w:r>
    </w:p>
    <w:p>
      <w:pPr>
        <w:spacing w:after="0" w:line="13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New government regulations could also result in new or more stringent forms of ESG oversight and new mandatory and voluntary reporting, diligence and disclosure. As we work to align with the recommendations of the Financial Stability Board’s Task Force on Climate-related Financial Disclosures, the Sustainability Accounting Standards Board, changes to applicable regulatory requirements, and our own ESG assessments and priorities, we may disclose additional metrics against which we may measure ourselves or be measured and tracked by others over time. Our failure to meet expectations or metrics, whether expectations or metrics set by us or by investors or other stakeholders, or to any other failure to make progress in this area on a timely basis, or at all, may negatively impact our reputation and our business.</w:t>
      </w:r>
    </w:p>
    <w:p>
      <w:pPr>
        <w:spacing w:after="0" w:line="128"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United Kingdom’s exit from the European Union, which occurred on January 31, 2020, and the risk that other countries may follow, could adversely affect us.</w:t>
      </w:r>
    </w:p>
    <w:p>
      <w:pPr>
        <w:spacing w:after="0" w:line="10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2022, approximately 18% of our revenue from continuing operations was generated in the U.K., although only about 11% of revenue from continuing operations was denominated in Pounds sterling as much of the insurance business is transacted in U.S. dollars or other currencies. Approximately 17% of our expenses from continuing operations were denominated in Pounds sterling. It remains difficult to predict with any level of certainty the impact that Brexit will have on the economy; economic, regulatory and political stability; and market conditions in Europe, including in the U.K., or on the Pound sterling, Euro or other European currencies, but any such impacts and others we cannot currently anticipate could materially adversely affect us and our operations. Among other things, we could experience: lower growth in the region due to indecision by businesses holding off on generating new projects or due to adverse market conditions; and reduced reported revenue and earnings because foreign currencies may translate into fewer U.S. dollars due to the fact that we translate revenue denominated in non-U.S. currencies, such as Pounds sterling, into U.S. dollars for our financial statements. In addition, there can be no assurance that our hedging strategies will be effective.</w:t>
      </w:r>
    </w:p>
    <w:p>
      <w:pPr>
        <w:spacing w:after="0" w:line="18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December 24, 2020, the E.U. and the U.K. agreed to the terms of a Trade and Cooperation Agreement (the ‘TCA’) that reflects certain matters agreed upon between the parties in relation to a broad range of separation issues, which provisionally applied as of January 1, 2021, and entered into force on May 1, 2021. While many separation issues have been resolved, some uncertainty remains in relation to the future regulation of financial services, among other matters. The TCA addresses issues related to financial services on a limited basis. The E.U. and the U.K have separately agreed to a Memorandum of Understanding to establish a framework for future regulatory cooperation. The British government and the E.U. will therefore continue over time to negotiate certain terms of the U.K.’s future relationship with the E.U. that are not addressed in the TCA. The Company is heavily invested in the U.K. through our businesses and activities. If the outcomes of Brexit and the TCA negatively impact the U.K., then it could have a material adverse impact on us.</w:t>
      </w:r>
    </w:p>
    <w:p>
      <w:pPr>
        <w:spacing w:after="0" w:line="189"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Brexit has resulted in greater restrictions on business conducted between the U.K. and E.U. countries and has increased regulatory complexities. Uncertainty remains as to how changes to the U.K.’s access to the E.U. Single Market and the wider trading, legal, regulatory, tax, social and labor environments, especially in the U.K. and E.U., will be impacted over time, including the resulting impacts on our business and that of our clients. For example, the loss of pre-Brexit passporting rights or regulatory limitations on the</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6" w:right="379" w:bottom="1440" w:gutter="0" w:footer="0" w:header="0"/>
        </w:sectPr>
      </w:pPr>
    </w:p>
    <w:bookmarkStart w:id="35" w:name="page36"/>
    <w:bookmarkEnd w:id="35"/>
    <w:p>
      <w:pPr>
        <w:ind w:right="20"/>
        <w:spacing w:after="0" w:line="265" w:lineRule="auto"/>
        <w:rPr>
          <w:sz w:val="20"/>
          <w:szCs w:val="20"/>
          <w:color w:val="auto"/>
        </w:rPr>
      </w:pPr>
      <w:r>
        <w:rPr>
          <w:rFonts w:ascii="Times New Roman" w:cs="Times New Roman" w:eastAsia="Times New Roman" w:hAnsi="Times New Roman"/>
          <w:sz w:val="18"/>
          <w:szCs w:val="18"/>
          <w:color w:val="auto"/>
        </w:rPr>
        <w:t>ability to conduct business in various E.U. countries by relying on a regulatory permission in the U.K. (or, conversely, doing business in the U.K. by relying on a regulatory permission in an E.U. country) may increase our costs of doing business or our ability to conduct business in impacted jurisdictions. These Brexit-related changes may adversely affect our operations and financial results.</w:t>
      </w:r>
    </w:p>
    <w:p>
      <w:pPr>
        <w:spacing w:after="0" w:line="17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We believe we have implemented appropriate arrangements for the continued servicing of client business in the countries most affected. These arrangements include the transaction of certain businesses and/or the movement of certain businesses outside of the U.K. However, various significant risks remain in relation to the effects of the post-Brexit arrangements between the E.U. and U.K. some of which have yet to be agreed upon, including the following, among others:</w:t>
      </w:r>
    </w:p>
    <w:p>
      <w:pPr>
        <w:spacing w:after="0" w:line="128" w:lineRule="exact"/>
        <w:rPr>
          <w:sz w:val="20"/>
          <w:szCs w:val="20"/>
          <w:color w:val="auto"/>
        </w:rPr>
      </w:pPr>
    </w:p>
    <w:p>
      <w:pPr>
        <w:ind w:left="760" w:right="200" w:hanging="378"/>
        <w:spacing w:after="0" w:line="258"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our implemented business solutions could cost more than expected, or that regulators in the U.K. or E.U may issue amended guidance or regulations in relation to those solutions (including any amended E.U. regulatory guidance in connection with the use of third-country branches of E.U.-domiciled insurance intermediary entities, whether following supervisory statements such as that issued by European Insurance and Occupational Pensions Authority (‘EIOPA’) on February 3, 2023 or otherwise) or that we fail to gain regulatory authorizations which could affect our business, operations or strategic plans;</w:t>
      </w:r>
    </w:p>
    <w:p>
      <w:pPr>
        <w:spacing w:after="0" w:line="127" w:lineRule="exact"/>
        <w:rPr>
          <w:rFonts w:ascii="Times New Roman" w:cs="Times New Roman" w:eastAsia="Times New Roman" w:hAnsi="Times New Roman"/>
          <w:sz w:val="18"/>
          <w:szCs w:val="18"/>
          <w:color w:val="auto"/>
        </w:rPr>
      </w:pPr>
    </w:p>
    <w:p>
      <w:pPr>
        <w:ind w:left="760" w:right="500" w:hanging="378"/>
        <w:spacing w:after="0" w:line="281"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require further changes to client contract terms and have to address additional regulatory requirements, including with respect to data protection and privacy standards;</w:t>
      </w:r>
    </w:p>
    <w:p>
      <w:pPr>
        <w:spacing w:after="0" w:line="108" w:lineRule="exact"/>
        <w:rPr>
          <w:rFonts w:ascii="Times New Roman" w:cs="Times New Roman" w:eastAsia="Times New Roman" w:hAnsi="Times New Roman"/>
          <w:sz w:val="18"/>
          <w:szCs w:val="18"/>
          <w:color w:val="auto"/>
        </w:rPr>
      </w:pPr>
    </w:p>
    <w:p>
      <w:pPr>
        <w:ind w:left="760" w:right="240" w:hanging="378"/>
        <w:spacing w:after="0" w:line="265"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over time of a loss of key talent, or an inability to hire sufficient and qualified talent, or the disruption to client servicing as a result of equivalence not being granted on qualifications or qualification requirements themselves being changed, or a need to relocate talent or roles or both between or within the E.U. and the U.K. as the regulatory and business environment changes following Brexit;</w:t>
      </w:r>
    </w:p>
    <w:p>
      <w:pPr>
        <w:spacing w:after="0" w:line="123" w:lineRule="exact"/>
        <w:rPr>
          <w:rFonts w:ascii="Times New Roman" w:cs="Times New Roman" w:eastAsia="Times New Roman" w:hAnsi="Times New Roman"/>
          <w:sz w:val="18"/>
          <w:szCs w:val="18"/>
          <w:color w:val="auto"/>
        </w:rPr>
      </w:pPr>
    </w:p>
    <w:p>
      <w:pPr>
        <w:ind w:left="760" w:right="340" w:hanging="378"/>
        <w:spacing w:after="0" w:line="281"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efforts and resources allocated to the post-Brexit evolution of regulations and laws, and associated changes to our operations, cause disruptions to our existing businesses, whether inside or outside the U.K., or both;</w:t>
      </w:r>
    </w:p>
    <w:p>
      <w:pPr>
        <w:spacing w:after="0" w:line="108" w:lineRule="exact"/>
        <w:rPr>
          <w:rFonts w:ascii="Times New Roman" w:cs="Times New Roman" w:eastAsia="Times New Roman" w:hAnsi="Times New Roman"/>
          <w:sz w:val="18"/>
          <w:szCs w:val="18"/>
          <w:color w:val="auto"/>
        </w:rPr>
      </w:pPr>
    </w:p>
    <w:p>
      <w:pPr>
        <w:ind w:left="760" w:right="140" w:hanging="378"/>
        <w:spacing w:after="0" w:line="281"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business solutions implemented by our market counterparties change as the U.K.-E.U. regulatory environment evolves in a way that necessitates further alterations to our business models, with the risks described above;</w:t>
      </w:r>
    </w:p>
    <w:p>
      <w:pPr>
        <w:spacing w:after="0" w:line="108" w:lineRule="exact"/>
        <w:rPr>
          <w:rFonts w:ascii="Times New Roman" w:cs="Times New Roman" w:eastAsia="Times New Roman" w:hAnsi="Times New Roman"/>
          <w:sz w:val="18"/>
          <w:szCs w:val="18"/>
          <w:color w:val="auto"/>
        </w:rPr>
      </w:pPr>
    </w:p>
    <w:p>
      <w:pPr>
        <w:ind w:left="760" w:right="40" w:hanging="378"/>
        <w:spacing w:after="0" w:line="281"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U.K. will continue to have in place a limited number of trade agreements with the E.U. member states and/or any non-E.U. states leading to potentially adverse trading conditions with other territories; and</w:t>
      </w:r>
    </w:p>
    <w:p>
      <w:pPr>
        <w:spacing w:after="0" w:line="108" w:lineRule="exact"/>
        <w:rPr>
          <w:rFonts w:ascii="Times New Roman" w:cs="Times New Roman" w:eastAsia="Times New Roman" w:hAnsi="Times New Roman"/>
          <w:sz w:val="18"/>
          <w:szCs w:val="18"/>
          <w:color w:val="auto"/>
        </w:rPr>
      </w:pPr>
    </w:p>
    <w:p>
      <w:pPr>
        <w:ind w:left="760" w:right="140" w:hanging="378"/>
        <w:spacing w:after="0" w:line="281"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way in which the U.K.-E.U. regulatory and legal environment evolves differs from current expectations, resulting in the need to quickly and materially change our plans, and the risks described above with respect to any associated changes in such plans.</w:t>
      </w:r>
    </w:p>
    <w:p>
      <w:pPr>
        <w:spacing w:after="0" w:line="109"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There is also a risk that other countries may decide to leave the E.U. We cannot predict the impact that any additional countries leaving the E.U. will have on us, but any such impacts could materially adversely affect us.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and Related Regulatory Risks</w:t>
      </w:r>
    </w:p>
    <w:p>
      <w:pPr>
        <w:spacing w:after="0" w:line="17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material pension liabilities that can fluctuate significantly and adversely affect our financial position or net income or result in other financial impacts.</w:t>
      </w:r>
    </w:p>
    <w:p>
      <w:pPr>
        <w:spacing w:after="0" w:line="10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material pension liabilities, some of which represent unfunded and underfunded pension and postretirement liabilities. Movements in the interest rate environment, investment returns, inflation or changes in other assumptions that are used to estimate our benefit obligations and other factors could have a material effect on the level of liabilities in these plans at any given time. Most pension plans have minimum funding requirements that may require material amounts of periodic additional funding and accounting requirements that may result in increased pension expense. Depending on the above factors, among others, we could be required to recognize further pension expense in the future. Increased pension expense could adversely affect our earnings or cause earnings volatility. In addition, the need to make additional cash contributions may reduce our financial flexibility and increase liquidity risk by reducing the cash available to meet our other obligations, including the payment obligations under our credit facilities and other long-term debt, or other needs of our business.</w:t>
      </w:r>
    </w:p>
    <w:p>
      <w:pPr>
        <w:spacing w:after="0" w:line="13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outstanding debt could adversely affect our cash flows and financial flexibility, and we may not be able to obtain financing on favorable terms or at all.</w:t>
      </w:r>
    </w:p>
    <w:p>
      <w:pPr>
        <w:spacing w:after="0" w:line="104"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WTW had total consolidated debt outstanding of approximately $4.7 billion as of December 31, 2022, and our interest expense was $208 million for the year ended December 31, 2022.</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6" w:name="page37"/>
    <w:bookmarkEnd w:id="36"/>
    <w:p>
      <w:pPr>
        <w:ind w:right="580"/>
        <w:spacing w:after="0" w:line="281" w:lineRule="auto"/>
        <w:rPr>
          <w:sz w:val="20"/>
          <w:szCs w:val="20"/>
          <w:color w:val="auto"/>
        </w:rPr>
      </w:pPr>
      <w:r>
        <w:rPr>
          <w:rFonts w:ascii="Times New Roman" w:cs="Times New Roman" w:eastAsia="Times New Roman" w:hAnsi="Times New Roman"/>
          <w:sz w:val="18"/>
          <w:szCs w:val="18"/>
          <w:color w:val="auto"/>
        </w:rPr>
        <w:t>Although management believes that our cash flows will be sufficient to service this debt, there may be circumstances in which required payments of principal and/or interest on this level of indebtedness may:</w:t>
      </w:r>
    </w:p>
    <w:p>
      <w:pPr>
        <w:spacing w:after="0" w:line="109" w:lineRule="exact"/>
        <w:rPr>
          <w:sz w:val="20"/>
          <w:szCs w:val="20"/>
          <w:color w:val="auto"/>
        </w:rPr>
      </w:pPr>
    </w:p>
    <w:p>
      <w:pPr>
        <w:ind w:left="760" w:right="20" w:hanging="378"/>
        <w:spacing w:after="0" w:line="281"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significant portion of our cash flow to payments on our debt, thereby reducing the availability of cash flow to fund capital expenditures, to pursue other acquisitions or investments, to pay dividends and for general corporate purposes;</w:t>
      </w:r>
    </w:p>
    <w:p>
      <w:pPr>
        <w:spacing w:after="0" w:line="10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reacting to changes or challenges relating to our business and industry; and</w:t>
      </w:r>
    </w:p>
    <w:p>
      <w:pPr>
        <w:spacing w:after="0" w:line="170" w:lineRule="exact"/>
        <w:rPr>
          <w:rFonts w:ascii="Times New Roman" w:cs="Times New Roman" w:eastAsia="Times New Roman" w:hAnsi="Times New Roman"/>
          <w:sz w:val="18"/>
          <w:szCs w:val="18"/>
          <w:color w:val="auto"/>
        </w:rPr>
      </w:pPr>
    </w:p>
    <w:p>
      <w:pPr>
        <w:ind w:left="760" w:right="420" w:hanging="378"/>
        <w:spacing w:after="0" w:line="281"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put us at a competitive disadvantage against competitors who have less indebtedness or are in a more favorable position to access additional capital resources.</w:t>
      </w:r>
    </w:p>
    <w:p>
      <w:pPr>
        <w:spacing w:after="0" w:line="10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terms of our current financings also include certain limitations. For example, the agreements relating to the debt arrangements and credit facilities contain numerous operating and financial covenants, including requirements to maintain minimum ratios of consolidated EBITDA to consolidated cash interest expense and maximum levels of consolidated funded indebtedness in relation to consolidated EBITDA, in each case subject to certain adjustments. The operating restrictions and financial covenants in our credit facilities do, and any future financing agreements may, limit our ability to finance future operations or capital needs or to engage in other business activities.</w:t>
      </w:r>
    </w:p>
    <w:p>
      <w:pPr>
        <w:spacing w:after="0" w:line="12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A failure to comply with the restrictions under our credit facilities and outstanding notes could result in a default or a cross-default under the financing obligations or could require us to obtain waivers from our lenders for failure to comply with these restrictions. The occurrence of a default that is not cured, or the inability to secure a necessary consent or waiver, could cause our obligations with respect to our debt to be accelerated and have a material adverse effect on our business, financial condition or results of operations.</w:t>
      </w:r>
    </w:p>
    <w:p>
      <w:pPr>
        <w:spacing w:after="0" w:line="12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maintenance and growth of our business depends on our access to capital, which will depend in large part on cash flow generated by our business and the availability of equity and debt financing. Also, we could be at risk to rising interest rates in the future to the extent that we borrow at floating rates under our existing borrowing agreements or refinance existing debt at higher rates. There can be no assurance that our operations will generate sufficient positive cash flow to finance all of our capital needs or that we will be able to obtain equity or debt financing on favorable terms or at all, which could have a material adverse effect on us.</w:t>
      </w:r>
    </w:p>
    <w:p>
      <w:pPr>
        <w:spacing w:after="0" w:line="124"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downgrade to our corporate credit rating and the credit ratings of our outstanding debt may adversely affect our borrowing costs and financial flexibility and, under certain circumstances, may require us to offer to buy back some of our outstanding debt.</w:t>
      </w:r>
    </w:p>
    <w:p>
      <w:pPr>
        <w:spacing w:after="0" w:line="10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 downgrade in our corporate credit rating or the credit ratings of our debt would increase our borrowing costs, including those under our credit facilities, and reduce our financial flexibility. Real or anticipated changes in our credit ratings will generally affect any trading market for, or trading value of, our securities. Such changes could result from any number of factors, including the modification by a credit rating agency of the criteria or methodology it applies to particular issuers, a change in the agency’s view of us or our industry, or as a consequence of actions we take to implement our corporate strategies. If we need to raise capital in the future, any credit rating downgrade could negatively affect our financing costs or access to financing sources. A change in our credit rating could also adversely impact our competitive position.</w:t>
      </w:r>
    </w:p>
    <w:p>
      <w:pPr>
        <w:spacing w:after="0" w:line="13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addition, under the indentures for our 4.625% senior notes due 2023, our 3.600% senior notes due 2024, our 4.400% senior notes due 2026, our 4.650% senior notes due 2027, our 4.500% senior notes due 2028, our 2.950% senior notes due 2029, our 6.125% senior notes due 2043, our 5.050% senior notes due 2048, and our 3.875% senior notes due 2049, if we experience a ratings decline together with a change of control event, we would be required to offer to purchase these notes from holders unless we had previously redeemed those notes. We may not have sufficient funds available or access to funding to repurchase tendered notes in that event, which could result in a default under the notes. Any future debt that we incur may contain covenants regarding repurchases in the event of a change of control triggering event.</w:t>
      </w:r>
    </w:p>
    <w:p>
      <w:pPr>
        <w:spacing w:after="0" w:line="12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significant non-U.S. operations, particularly our London market operations, expose us to exchange rate fluctuations and various other risks that could impact our business.</w:t>
      </w:r>
    </w:p>
    <w:p>
      <w:pPr>
        <w:spacing w:after="0" w:line="10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 significant portion of our operations is conducted outside of the U.S. Accordingly, we are subject to legal, economic and market risks associated with operating in foreign countries, including devaluations and fluctuations in currency exchange rates; imposition of limitations on conversion of foreign currencies into Pounds sterling or U.S. dollars or remittance of dividends and other payments by foreign subsidiaries; hyperinflation in certain foreign countries; adverse or unexpected impacts of fiscal and monetary policies of foreign countries; imposition or increase of investment and other restrictions by foreign governments; and the requirement of complying with a wide variety of foreign laws.</w:t>
      </w:r>
    </w:p>
    <w:p>
      <w:pPr>
        <w:spacing w:after="0" w:line="128"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We report our operating results and financial condition in U.S. dollars. Our U.S. operations earn revenue and incur expenses primarily in U.S. dollars. In our London market operations however, we earn revenue in a number of different currencies, but expenses are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37" w:name="page38"/>
    <w:bookmarkEnd w:id="37"/>
    <w:p>
      <w:pPr>
        <w:ind w:right="300"/>
        <w:spacing w:after="0" w:line="281" w:lineRule="auto"/>
        <w:rPr>
          <w:sz w:val="20"/>
          <w:szCs w:val="20"/>
          <w:color w:val="auto"/>
        </w:rPr>
      </w:pPr>
      <w:r>
        <w:rPr>
          <w:rFonts w:ascii="Times New Roman" w:cs="Times New Roman" w:eastAsia="Times New Roman" w:hAnsi="Times New Roman"/>
          <w:sz w:val="18"/>
          <w:szCs w:val="18"/>
          <w:color w:val="auto"/>
        </w:rPr>
        <w:t>almost entirely incurred in Pounds sterling. Outside of the U.S. and our London market operations, we predominantly generate revenue and expenses in local currencies.</w:t>
      </w:r>
    </w:p>
    <w:p>
      <w:pPr>
        <w:spacing w:after="0" w:line="10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Because of devaluations and fluctuations in currency exchange rates or the imposition of limitations on conversion of foreign currencies into U.S. dollars, we are subject to currency translation exposure on the profits of our operations, in addition to economic exposure. Furthermore, the mismatch between Pounds sterling revenue and expenses, together with any net Pounds sterling balance sheet position we hold in our U.S. dollar-denominated London market operations, creates an exchange exposure. While we do utilize hedging strategies to attempt to reduce the impact of foreign currency fluctuations, there can be no assurance that our hedging strategies will be effective.</w:t>
      </w:r>
    </w:p>
    <w:p>
      <w:pPr>
        <w:spacing w:after="0" w:line="124"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accounting principles or in our accounting estimates and assumptions could negatively affect our financial position and results of operations.</w:t>
      </w:r>
    </w:p>
    <w:p>
      <w:pPr>
        <w:spacing w:after="0" w:line="104"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We prepare our financial statements in accordance with U.S. GAAP. Any change to accounting principles, particularly to U.S. GAAP, could have a material adverse effect on us or our results of operations.</w:t>
      </w:r>
    </w:p>
    <w:p>
      <w:pPr>
        <w:spacing w:after="0" w:line="10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U.S. GAAP accounting principles require us to make estimates and assumptions that affect the reported amounts of assets and liabilities, and the disclosure of contingent assets and liabilities at the date of our financial statements. We are also required to make certain judgments that affect the reported amounts of revenue and expenses during each reporting period. We periodically evaluate our estimates and assumptions, including those relating to revenue recognition, valuation of billed and unbilled receivables from clients, discretionary compensation, incurred-but-not-reported liabilities, restructuring, pensions, goodwill and other intangible assets, contingencies, share-based payments and income taxes. We base our estimates on historical experience and various assumptions that we believe to be reasonable based on specific circumstances. Actual results could differ from these estimates, and changes in accounting standards could have an adverse impact on our future financial position and results of operations.</w:t>
      </w:r>
    </w:p>
    <w:p>
      <w:pPr>
        <w:spacing w:after="0" w:line="13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we have a substantial amount of goodwill on our consolidated balance sheet as a result of acquisitions we have completed. We review goodwill for impairment annually or whenever events or circumstances indicate impairment may have occurred. Application of the impairment test requires judgment, including the identification of reporting units, assignment of assets, liabilities and goodwill to reporting units and the determination of the fair value of each reporting unit. A significant deterioration in a key estimate or assumption or a less significant deterioration to a combination of assumptions, or the sale of a part of a reporting unit, could result in an impairment charge in the future, which could have a significant adverse impact on our reported earnings.</w:t>
      </w:r>
    </w:p>
    <w:p>
      <w:pPr>
        <w:spacing w:after="0" w:line="12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revenue and cash flow could fluctuate, including as a result of factors outside of our control, while our expenses may remain relatively fixed or be higher than expected.</w:t>
      </w:r>
    </w:p>
    <w:p>
      <w:pPr>
        <w:spacing w:after="0" w:line="1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Quarterly variations in our revenue, cash flow and results of operations have occurred in the past and could occur as a result of a number of factors, such as: the significance of client engagements commenced and completed during a quarter; seasonality of certain types of services; the number of business days in a quarter; colleague hiring and utilization rates; our clients’ ability to terminate engagements without penalty; the size and scope of assignments; our ability to enhance our billing, collection and working capital management efforts; differences in timing of renewals; non-recurring revenue from disposals and book-of-business sales; and general economic conditions.</w:t>
      </w:r>
    </w:p>
    <w:p>
      <w:pPr>
        <w:spacing w:after="0" w:line="12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derive significant revenue from commissions for brokerage services, but do not determine the insurance premiums on which our commissions are generally based. Commission levels generally follow the same trend as premium levels, as they are a percentage of the premiums paid by the insureds. Fluctuations in the premiums charged by the insurance carriers can therefore have a direct and potentially material impact on our results of operations. Due to the cyclical nature of the insurance market and the impact of other market conditions on insurance premiums, commission levels may vary widely between accounting periods. A period of low or declining premium rates, generally known as a ‘soft’ or ‘softening’ market, generally leads to downward pressure on commission revenue and can have a material adverse impact on our commission revenue and operating margin. We could be negatively impacted by soft market conditions across certain sectors and geographic regions. In addition, insurance carriers may seek to reduce their expenses by reducing the commission rates payable to insurance agents or brokers such as us. The reduction of these commission rates, along with general volatility and/or declines in premiums, may significantly undermine our profitability. Because we do not determine the timing or extent of premium pricing changes, it is difficult to accurately forecast our commission revenue, including whether they will significantly decline. As a result, we may have to adjust our plans for future acquisitions, capital expenditures, dividend payments, loan repayments and other expenditures to account for unexpected changes in revenue, and any decreases in premium rates may adversely affect the results of our operations.</w:t>
      </w:r>
    </w:p>
    <w:p>
      <w:pPr>
        <w:spacing w:after="0" w:line="132"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In addition to movements in premium rates, our ability to generate premium-based commission revenue may be challenged by disintermediation and the growing availability of alternative methods for clients to meet their risk-protection needs. This trend includes a greater willingness on the part of corporations to self-insure, the use of captive insurers, and the presence of capital markets-based solutions for traditional insurance and reinsurance needs. Further, the profitability of our risk and broking businesses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38" w:name="page39"/>
    <w:bookmarkEnd w:id="38"/>
    <w:p>
      <w:pPr>
        <w:ind w:right="20"/>
        <w:spacing w:after="0" w:line="265" w:lineRule="auto"/>
        <w:rPr>
          <w:sz w:val="20"/>
          <w:szCs w:val="20"/>
          <w:color w:val="auto"/>
        </w:rPr>
      </w:pPr>
      <w:r>
        <w:rPr>
          <w:rFonts w:ascii="Times New Roman" w:cs="Times New Roman" w:eastAsia="Times New Roman" w:hAnsi="Times New Roman"/>
          <w:sz w:val="18"/>
          <w:szCs w:val="18"/>
          <w:color w:val="auto"/>
        </w:rPr>
        <w:t>depends in part on our ability to be compensated for the analytical services and other advice that we provide, including the consulting and analytics services that we provide to insurers. If we are unable to achieve and maintain adequate billing rates for all of our services, our margins and profitability could decline.</w:t>
      </w:r>
    </w:p>
    <w:p>
      <w:pPr>
        <w:spacing w:after="0" w:line="12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 sizeable portion of our total operating expenses is relatively fixed or may even be higher than expected, encompassing the majority of administrative, occupancy, communications and other expenses, depreciation and amortization, and salaries and employee benefits excluding fiscal year-end incentive bonuses. Therefore, a variation in the number of client assignments and collection of accounts receivable, or in the timing of the initiation or the completion of client assignments, or our inability to forecast demand, can cause significant variations in quarterly operating results and could result in losses and volatility in our stock price.</w:t>
      </w:r>
    </w:p>
    <w:p>
      <w:pPr>
        <w:spacing w:after="0" w:line="12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While we have incorporated provisions for the use of successor benchmarks in our existing external and intercompany floating-rate facilities which use the London Interbank Offered Rate (‘LIBOR’) as a reference rate, there remains uncertainty as to how the anticipated discontinuation of LIBOR may affect the market for or pricing of any LIBOR-linked securities, loans, derivatives, and other financial obligations which we may seek to obtain in the future.</w:t>
      </w:r>
    </w:p>
    <w:p>
      <w:pPr>
        <w:spacing w:after="0" w:line="1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the recent past, concerns have been publicized regarding the calculation of LIBOR, the London interbank offered rate, which present risks for the financial instruments that use LIBOR as a reference rate. LIBOR has been the basic rate of interest used in lending between banks on the London interbank market and has widely been used as a reference for setting the interest rate on loans globally. On March 5, 2021, LIBOR’s regulator, the Financial Conduct Authority, and administrator, ICE Benchmark Administration Limited, announced that the publication of the one-week and two-month USD LIBOR maturities and non-USD LIBOR maturities will cease immediately after December 31, 2021, with the remaining USD LIBOR maturities ceasing immediately after June 30, 2023.</w:t>
      </w:r>
    </w:p>
    <w:p>
      <w:pPr>
        <w:spacing w:after="0" w:line="132"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In response, the Company has incorporated provisions for the use of successor benchmarks (such as the Secured Overnight Financing Rate (‘SOFR’) in the U.S. and the Sterling Overnight Index Average (‘SONIA’) in the U.K.) where required in all of its external borrowing facilities that provide for floating-rate borrowing, including our amended and restated $1.5 billion revolving credit facility. Additionally, where the Company engages in floating-rate intercompany lending, we have made arrangements to benchmark the borrowing off successor market rates to maintain arms-length pricing. While we do not expect that the transition from LIBOR and risks related thereto will have a material adverse impact on our financing costs given the measures we have taken to install successor benchmark provisions in our floating-rate facilities, there remains the possibility that the transition away from LIBOR could affect the pricing of any future LIBOR-linked securities, loans, derivatives, or other financial obligations or extensions of credit which we may seek to obtain.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holding company and therefore, may not be able to receive dividends or other distributions in needed amounts from our subsidiaries.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is organized as a holding company, a legal entity separate and distinct from our operating subsidiaries. As a holding company without significant operations of our own, we are dependent upon dividends and other payments from our operating subsidiaries to meet our obligations for paying principal and interest on outstanding debt obligations, for paying dividends to shareholders, for repurchasing our ordinary shares and for corporate expenses. Legal and regulatory restrictions, foreign exchange controls, as well as operating requirements of our subsidiaries, may limit our ability to obtain cash from these subsidiaries. For example, Willis Limited, our U.K. brokerage subsidiary regulated by the FCA, is currently required to maintain $105 million in unencumbered and available financial resources, of which at least $66 million must be in cash, for regulatory purposes. In the event our operating subsidiaries are unable to pay dividends and other payments to the Company, we may not be able to service debt, pay obligations or pay dividends on, or repurchase, our ordinary shares. In the event we are unable to generate cash from our operating subsidiaries for any of the reasons discussed above, our overall liquidity could deteriorate.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Tax Risks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 U.S. person is treated as owning at least 10% of our shares, such a holder may be subject to adverse U.S. federal income tax consequences.</w:t>
      </w:r>
    </w:p>
    <w:p>
      <w:pPr>
        <w:spacing w:after="0" w:line="17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Under current U.S. federal tax law, many of our non-U.S. subsidiaries are now classified as ‘controlled foreign corporations’ (‘CFCs’) for U.S. federal income tax purposes due to the expanded application of certain ownership attribution rules within a multinational corporate group. If a U.S. person is treated as owning (directly, indirectly or constructively) at least 10% of the value or voting power of our shares, such a person may be treated as a U.S. shareholder with respect to one or more of our CFC subsidiaries. In addition, if our shares are treated as owned more than 50% by U.S. shareholders, we would be treated as a CFC. A U.S. shareholder of a CFC may be required to annually report and include in its U.S. taxable income, as ordinary income, its pro-rata share of Subpart F income, global intangible low-taxed income, and investments in U.S. property by CFCs, whether or not we make any distributions to such U.S. shareholder. An individual U.S. shareholder generally would not be allowed certain tax deductions or foreign tax credits that would be allowed to a corporate U.S. shareholder with respect to a CFC. A failure by a U.S. shareholder to comply with its reporting obligations may subject the U.S. shareholder to significant monetary penalties and may extend the statute of limitations with respect to the U.S.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39" w:name="page40"/>
    <w:bookmarkEnd w:id="39"/>
    <w:p>
      <w:pPr>
        <w:ind w:right="140"/>
        <w:spacing w:after="0" w:line="260" w:lineRule="auto"/>
        <w:rPr>
          <w:sz w:val="20"/>
          <w:szCs w:val="20"/>
          <w:color w:val="auto"/>
        </w:rPr>
      </w:pPr>
      <w:r>
        <w:rPr>
          <w:rFonts w:ascii="Times New Roman" w:cs="Times New Roman" w:eastAsia="Times New Roman" w:hAnsi="Times New Roman"/>
          <w:sz w:val="18"/>
          <w:szCs w:val="18"/>
          <w:color w:val="auto"/>
        </w:rPr>
        <w:t>shareholder’s U.S. federal income tax return for the year for which such reporting was due. We cannot provide any assurances that we will assist investors in determining whether we or any of our non-U.S. subsidiaries are CFCs or whether any investor is a U.S. shareholder with respect to any such CFCs. We also cannot guarantee that we will furnish to U.S. shareholders any or all of the information that may be necessary for them to comply with the aforementioned obligations. U.S. investors should consult their own advisors regarding the potential application of these rules to their investments in us.</w:t>
      </w:r>
    </w:p>
    <w:p>
      <w:pPr>
        <w:spacing w:after="0" w:line="12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action or developments in case law in the U.S. or elsewhere could have a material adverse impact on our worldwide effective corporate tax rate.</w:t>
      </w:r>
    </w:p>
    <w:p>
      <w:pPr>
        <w:spacing w:after="0" w:line="104"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We cannot give any assurance as to what our effective tax rate will be in the future, because of, among other things, uncertainty regarding the tax laws and policies of the jurisdictions where we operate. Our actual effective tax rate may vary from expectations, and that variance may be material.</w:t>
      </w:r>
    </w:p>
    <w:p>
      <w:pPr>
        <w:spacing w:after="0" w:line="10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The tax laws of Ireland and other jurisdictions could change in the future. There may be an enactment of additional, or the revision of existing, state, federal and/or non-U.S. regulatory and tax laws, and/or a development of case law, regulations and policy changes in the jurisdictions in which we operate. Any such changes could cause a material change in our effective tax rate.</w:t>
      </w:r>
    </w:p>
    <w:p>
      <w:pPr>
        <w:spacing w:after="0" w:line="123"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8"/>
          <w:szCs w:val="18"/>
          <w:color w:val="auto"/>
        </w:rPr>
        <w:t>Further, it is possible that taxing authorities may propose significant changes, which, if ultimately executed, could limit the availability of tax benefits or deductions that we currently claim, override tax treaties upon which we rely, or otherwise affect the taxes that Ireland, the U.S. or other territories impose on our worldwide operations.</w:t>
      </w:r>
    </w:p>
    <w:p>
      <w:pPr>
        <w:spacing w:after="0" w:line="12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Such new legislation (or changes to existing legislation or interpretation thereof) could materially adversely affect our effective tax rate and/or require us to take further action, at potentially significant additional expense, to seek to preserve our effective tax rate. Relatedly, if proposals were enacted that have the effect of limiting our ability as an Irish company to take advantage of tax treaties with the U.S. or other territories, we could incur additional tax expense and/or otherwise experience business detriment.</w:t>
      </w:r>
    </w:p>
    <w:p>
      <w:pPr>
        <w:spacing w:after="0" w:line="128"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For example, in August 2022, the U.S. enacted the Inflation Reduction Act of 2022 (‘IRA’), which, among other effects, creates a new corporate alternative minimum tax of at least 15% on consolidated GAAP pre-tax income for corporations with average book income in excess of $1 billion. The book minimum tax will first apply to us in 2023, although we do not expect the IRA to have a material impact on our effective tax rate.</w:t>
      </w:r>
    </w:p>
    <w:p>
      <w:pPr>
        <w:spacing w:after="0" w:line="12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In addition, the U.S. Congress, the Organization for Economic Co-operation and Development (‘OECD’), the World Trade Organization and other government agencies in non-U.S. jurisdictions where we and our affiliates do business have had an extended focus on issues related to the taxation of multinational corporations. One example is in the area of base erosion and profit shifting, where payments are made between affiliates from a jurisdiction with high tax rates to a jurisdiction with lower tax rates. Several jurisdictions have enacted legislation that is aligned with, and in some cases exceeds the scope of, the recommendations in the OECD’s 2015 reports addressing 15 specific actions as part of a comprehensive plan to create an agreed set of international rules for fighting base erosion and profit shifting.</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Finally, on October 8, 2021, the OECD announced an international agreement with more than 130 countries to implement a two-pillar solution to address tax challenges arising from digitalization of the economy. The agreement introduced rules that would result in the reallocation of certain taxing rights from multinational companies from their home countries to the markets where they have business activities and earn profits, regardless of physical presence (‘Pillar One’) and introduced a global corporate minimum tax of 15% for certain large multinational companies starting in 2023 (‘Pillar Two’). Significant progress has been made on implementation of Pillar Two, with the Model Rules for implementation being released in December 2021 and related commentary in March 2022. On December 12, 2022, E.U. member states reached an agreement to implement Pillar Two which requires E.U. member states to enact domestic legislation by the end of 2023.</w:t>
      </w:r>
    </w:p>
    <w:p>
      <w:pPr>
        <w:spacing w:after="0" w:line="133"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These changes, when enacted by various countries in which we do business, could increase uncertainty and may adversely affect our tax rate and cash flow in future years.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Being an Irish-Incorporated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laws of Ireland differ from the laws in effect in the United States and may afford less protection to holders of our securities.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It may not be possible to enforce court judgments obtained in the U.S. against us in Ireland, based on the civil liability provisions of the U.S. federal or state securities laws. In addition, there is some uncertainty as to whether the courts of Ireland would recognize or enforce judgments of U.S. courts obtained against us or our directors or officers based on the civil liabilities provisions of the U.S. federal or state securities laws or hear actions against us or those persons based on those laws. We have been advised that the U.S. currently does not have a treaty with Ireland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40" w:name="page41"/>
    <w:bookmarkEnd w:id="40"/>
    <w:p>
      <w:pPr>
        <w:ind w:right="260"/>
        <w:spacing w:after="0" w:line="256" w:lineRule="auto"/>
        <w:rPr>
          <w:sz w:val="20"/>
          <w:szCs w:val="20"/>
          <w:color w:val="auto"/>
        </w:rPr>
      </w:pPr>
      <w:r>
        <w:rPr>
          <w:rFonts w:ascii="Times New Roman" w:cs="Times New Roman" w:eastAsia="Times New Roman" w:hAnsi="Times New Roman"/>
          <w:sz w:val="18"/>
          <w:szCs w:val="18"/>
          <w:color w:val="auto"/>
        </w:rPr>
        <w:t>As an Irish company, we are governed by the Irish Companies Act, which differs in some material respects from laws generally applicable to U.S. corporations and shareholders, including, among others, differences relating to interested director and officer transactions and shareholder lawsuits. Likewise,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jurisdiction of the United States.</w:t>
      </w:r>
    </w:p>
    <w:p>
      <w:pPr>
        <w:spacing w:after="0" w:line="12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an Irish public limited company, certain decisions related to our capital structure will require the approval of shareholders, which may limit our flexibility to manage our capital structure.</w:t>
      </w:r>
    </w:p>
    <w:p>
      <w:pPr>
        <w:spacing w:after="0" w:line="10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Irish law generally provides that a board of directors may allot and issue shares (or rights to subscribe for or convert into shares) if authorized to do so by a company’s constitution or by an ordinary resolution of shareholders. Such authorization may be granted in respect of up to the entirety of a company’s authorized but unissued share capital and for a maximum period of five years, at which point it must be renewed by another ordinary resolution. The Company’s constitution authorizes our directors to allot shares up to the maximum of the Company’s authorized but unissued share capital for a period of five years. This authorization will need to be renewed by ordinary resolution upon its expiration and at periodic intervals thereafter. Under Irish law, an allotment authority may be given for up to five years at each renewal, but governance considerations may result in renewals for shorter periods or in respect of less than the maximum permitted number of shares being sought or approved.</w:t>
      </w:r>
    </w:p>
    <w:p>
      <w:pPr>
        <w:spacing w:after="0" w:line="13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Additionally, under Irish law, we may only pay dividends and, generally, make share repurchases and redemptions from distributable profits. Distributable profits may be created through the earnings of the Company or other methods (including certain intragroup reorganizations involving the capitalization of the Company’s undistributable profits and their subsequent reduction). While it is our intention to maintain a sufficient level of distributable profits in order to pay dividends on our ordinary shares and make share repurchases, there is no assurance that the Company will maintain the necessary level of distributable profits to do so.</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operate offices in many countries throughout the world and believe that our properties are generally suitable and adequate for the purposes for which they are used. The principal properties are located in the United States and the United Kingdom. In addition, we have other offices in various locations, including among others, Europe, Asia, Australia and Latin America. Operations of each of our segments are carried out in owned or leased offices under operating leases that typically do not exceed 10 years in length, except for certain properties in key locations. We do not anticipate difficulty in meeting our space needs at lease expiration.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5"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 xml:space="preserve">From time to time, we are party to various lawsuits, arbitrations or mediations that arise in the ordinary course of business. The disclosure called for by Item 3 regarding our legal proceedings is incorporated by reference herein from </w:t>
      </w:r>
      <w:r>
        <w:rPr>
          <w:rFonts w:ascii="Times New Roman" w:cs="Times New Roman" w:eastAsia="Times New Roman" w:hAnsi="Times New Roman"/>
          <w:sz w:val="18"/>
          <w:szCs w:val="18"/>
          <w:u w:val="single" w:color="auto"/>
          <w:color w:val="0563C1"/>
        </w:rPr>
        <w:t>Note 15 — Commitments and Contingencies, within Item 8 in this 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563C1"/>
        </w:rPr>
        <w:t>Report on Form 10-K</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-174625</wp:posOffset>
            </wp:positionV>
            <wp:extent cx="343281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328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-38100</wp:posOffset>
            </wp:positionV>
            <wp:extent cx="9918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991870" cy="8255"/>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Data</w:t>
      </w:r>
    </w:p>
    <w:p>
      <w:pPr>
        <w:spacing w:after="0" w:line="175"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Our ordinary shares trade on the NASDAQ Global Select Market under the symbol ‘WTW’ as of January 10, 2022. Our ordinary shares previously traded under the symbol ‘WLTW’ starting on January 5, 2016. As of February 16, 2023, there were 1,079 shareholders of record of our shares.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We normally pay dividends on a quarterly basis to shareholders of record on March 31, June 30, September 30 and December 31. In February 2023, the board of directors approved a quarterly cash dividend of $0.84 per share ($3.36 per share annualized rate), which will be paid on or around April 17, 2023 to shareholders of record as of March 31, 2023.</w:t>
      </w:r>
    </w:p>
    <w:p>
      <w:pPr>
        <w:spacing w:after="0" w:line="123"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There are no governmental laws, decrees or regulations in Ireland that restrict the remittance of dividends or other payments to non-resident holders of the Company’s shares.</w:t>
      </w:r>
    </w:p>
    <w:p>
      <w:pPr>
        <w:spacing w:after="0" w:line="10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circumstances where one of Ireland’s many exemptions from dividend withholding tax (‘DWT’) does not apply, dividends paid by the Company will be subject to Irish DWT (currently 20 percent). Residents of the United States should be exempt from Irish DWT provided relevant documentation supporting the exemption has been put in place. While the U.S.-Ireland Double Tax Treaty contains provisions reducing the rate of Irish DWT in prescribed circumstances, it should generally be unnecessary for U.S. residents to rely on the provisions of this treaty due to the wide scope of exemptions from Irish DWT available under Irish domestic law. Irish income tax may also arise in respect of dividends paid by the Company. However, U.S. residents entitled to an exemption from Irish DWT generally have no Irish income tax liability on dividends.</w:t>
      </w:r>
    </w:p>
    <w:p>
      <w:pPr>
        <w:spacing w:after="0" w:line="13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With respect to non-corporate U.S. shareholders, certain dividends from a qualified foreign corporation may be subject to reduced rates of taxation. A foreign corporation is treated as a qualified foreign corporation with respect to dividends received from that corporation on shares that are readily tradeable on an established securities market in the United States, such as our shares. Non-corporate U.S. shareholders that do not meet a minimum holding period requirement for our shares during which they are not protected from the risk of loss or that elect to treat the dividend income as investment income pursuant to section 163(d)(4) of the Code will not be eligible for the reduced rates of taxation regardless of our status as a qualified foreign corporation. In addition, the rate reduction will not apply to dividends if the recipient of a dividend is obligated to make related payments with respect to positions in substantially similar or related property. This disallowance applies even if the minimum holding period has been met. U.S. shareholders should consult their own tax advisors regarding the application of these rules given their particular circumstances.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Five-Year Cumulative Total Shareholder Return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graph below depicts cumulative total shareholder returns for WTW for the period from December 31, 2017 through December 31, 2022.</w:t>
      </w:r>
    </w:p>
    <w:p>
      <w:pPr>
        <w:spacing w:after="0" w:line="17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graph also depicts the total return for the S&amp;P 500 and for a peer group for WTW comprised of Aon plc, Arthur J. Gallagher &amp; Co., Automatic Data Processing, Inc., Booz Allen Hamilton Holding Corporation, Cognizant Technology Solutions Corporation, Conduent Incorporated, Fidelity National Financial, Inc., Fidelity National Information Services, Inc., First American Financial Corporation, Fiserv, Inc., Marsh &amp; McLennan Companies, Inc., Principal Financial Group, Inc., Robert Half International Inc., S&amp;P Global Inc., The Hartford Financial Services Group, Inc., and Unum Group. The graph charts the performance of $100 invested on the initial date indicated, December 31, 2017, assuming full dividend reinvestment.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wp:posOffset>
            </wp:positionH>
            <wp:positionV relativeFrom="paragraph">
              <wp:posOffset>92710</wp:posOffset>
            </wp:positionV>
            <wp:extent cx="6104890" cy="33991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104890" cy="3399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2022, no shares were issued by the Company without registration under the Securities Act of 1933, as amended.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7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Company is authorized to repurchase shares, by way of redemption, and will consider whether to do so from time to time, based on many factors, including market conditions. Since April 20, 2016, when the WTW board reconfirmed, reapproved and reauthorized the remaining $529 million portion of the Legacy Willis program to repurchase the Company’s ordinary shares on the open market or by way of redemption or otherwise, the following additional authorizations have occurred:</w:t>
      </w:r>
    </w:p>
    <w:p>
      <w:pPr>
        <w:spacing w:after="0" w:line="126"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November 10, 2016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announced that the board of directors approved an additional authorization of $1.0 billion.</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February 23, 2018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announced that the board of directors approved an additional authorization of $400 million.</w:t>
      </w:r>
    </w:p>
    <w:p>
      <w:pPr>
        <w:spacing w:after="0" w:line="170" w:lineRule="exact"/>
        <w:rPr>
          <w:rFonts w:ascii="Times New Roman" w:cs="Times New Roman" w:eastAsia="Times New Roman" w:hAnsi="Times New Roman"/>
          <w:sz w:val="18"/>
          <w:szCs w:val="18"/>
          <w:color w:val="auto"/>
        </w:rPr>
      </w:pPr>
    </w:p>
    <w:p>
      <w:pPr>
        <w:ind w:left="5540" w:right="1320" w:hanging="5158"/>
        <w:spacing w:after="0" w:line="534" w:lineRule="auto"/>
        <w:tabs>
          <w:tab w:leader="none" w:pos="76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February 26, 2020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announced that the board of directors approved an additional authorization of $251 million.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bookmarkStart w:id="43" w:name="page44"/>
    <w:bookmarkEnd w:id="43"/>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July 26, 2021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announced that the board of directors approved an additional authorization of $1.0 billion.</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September 16, 2021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announced that the board of directors approved an additional authorization of $4.0 billion.</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May 25, 2022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announced that the board of directors approved an additional authorization of $1.0 billion.</w:t>
      </w:r>
    </w:p>
    <w:p>
      <w:pPr>
        <w:spacing w:after="0" w:line="173"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There are no expiration dates for these repurchase plans or programs. The following table presents specified information about the Company’s repurchases of ordinary shares in the fourth quarter and the Company’s repurchase authority.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40" w:type="dxa"/>
            <w:vAlign w:val="bottom"/>
          </w:tcPr>
          <w:p>
            <w:pPr>
              <w:spacing w:after="0"/>
              <w:rPr>
                <w:sz w:val="13"/>
                <w:szCs w:val="13"/>
                <w:color w:val="auto"/>
              </w:rPr>
            </w:pPr>
          </w:p>
        </w:tc>
        <w:tc>
          <w:tcPr>
            <w:tcW w:w="182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54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40" w:type="dxa"/>
            <w:vAlign w:val="bottom"/>
          </w:tcPr>
          <w:p>
            <w:pPr>
              <w:spacing w:after="0"/>
              <w:rPr>
                <w:sz w:val="12"/>
                <w:szCs w:val="12"/>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20" w:type="dxa"/>
            <w:vAlign w:val="bottom"/>
          </w:tcPr>
          <w:p>
            <w:pPr>
              <w:spacing w:after="0"/>
              <w:rPr>
                <w:sz w:val="12"/>
                <w:szCs w:val="12"/>
                <w:color w:val="auto"/>
              </w:rPr>
            </w:pPr>
          </w:p>
        </w:tc>
        <w:tc>
          <w:tcPr>
            <w:tcW w:w="20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40" w:type="dxa"/>
            <w:vAlign w:val="bottom"/>
          </w:tcPr>
          <w:p>
            <w:pPr>
              <w:spacing w:after="0"/>
              <w:rPr>
                <w:sz w:val="12"/>
                <w:szCs w:val="12"/>
                <w:color w:val="auto"/>
              </w:rPr>
            </w:pPr>
          </w:p>
        </w:tc>
        <w:tc>
          <w:tcPr>
            <w:tcW w:w="182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w:t>
            </w:r>
          </w:p>
        </w:tc>
        <w:tc>
          <w:tcPr>
            <w:tcW w:w="0" w:type="dxa"/>
            <w:vAlign w:val="bottom"/>
          </w:tcPr>
          <w:p>
            <w:pPr>
              <w:spacing w:after="0"/>
              <w:rPr>
                <w:sz w:val="1"/>
                <w:szCs w:val="1"/>
                <w:color w:val="auto"/>
              </w:rPr>
            </w:pPr>
          </w:p>
        </w:tc>
      </w:tr>
      <w:tr>
        <w:trPr>
          <w:trHeight w:val="187"/>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Pr>
          <w:p>
            <w:pPr>
              <w:spacing w:after="0"/>
              <w:rPr>
                <w:sz w:val="16"/>
                <w:szCs w:val="16"/>
                <w:color w:val="auto"/>
              </w:rPr>
            </w:pPr>
          </w:p>
        </w:tc>
        <w:tc>
          <w:tcPr>
            <w:tcW w:w="208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140" w:type="dxa"/>
            <w:vAlign w:val="bottom"/>
          </w:tcPr>
          <w:p>
            <w:pPr>
              <w:spacing w:after="0"/>
              <w:rPr>
                <w:sz w:val="16"/>
                <w:szCs w:val="16"/>
                <w:color w:val="auto"/>
              </w:rPr>
            </w:pPr>
          </w:p>
        </w:tc>
        <w:tc>
          <w:tcPr>
            <w:tcW w:w="182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0" w:type="dxa"/>
            <w:vAlign w:val="bottom"/>
          </w:tcPr>
          <w:p>
            <w:pPr>
              <w:spacing w:after="0"/>
              <w:rPr>
                <w:sz w:val="1"/>
                <w:szCs w:val="1"/>
                <w:color w:val="auto"/>
              </w:rPr>
            </w:pPr>
          </w:p>
        </w:tc>
      </w:tr>
      <w:tr>
        <w:trPr>
          <w:trHeight w:val="236"/>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October 1, 2022 through October 31, 2022</w:t>
            </w:r>
          </w:p>
        </w:tc>
        <w:tc>
          <w:tcPr>
            <w:tcW w:w="15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617,691</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207.67</w:t>
            </w:r>
          </w:p>
        </w:tc>
        <w:tc>
          <w:tcPr>
            <w:tcW w:w="120" w:type="dxa"/>
            <w:vAlign w:val="bottom"/>
            <w:shd w:val="clear" w:color="auto" w:fill="CFF0FC"/>
          </w:tcPr>
          <w:p>
            <w:pPr>
              <w:spacing w:after="0"/>
              <w:rPr>
                <w:sz w:val="20"/>
                <w:szCs w:val="20"/>
                <w:color w:val="auto"/>
              </w:rPr>
            </w:pPr>
          </w:p>
        </w:tc>
        <w:tc>
          <w:tcPr>
            <w:tcW w:w="20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617,691</w:t>
            </w:r>
          </w:p>
        </w:tc>
        <w:tc>
          <w:tcPr>
            <w:tcW w:w="140" w:type="dxa"/>
            <w:vAlign w:val="bottom"/>
            <w:shd w:val="clear" w:color="auto" w:fill="CFF0FC"/>
          </w:tcPr>
          <w:p>
            <w:pPr>
              <w:spacing w:after="0"/>
              <w:rPr>
                <w:sz w:val="20"/>
                <w:szCs w:val="20"/>
                <w:color w:val="auto"/>
              </w:rPr>
            </w:pPr>
          </w:p>
        </w:tc>
        <w:tc>
          <w:tcPr>
            <w:tcW w:w="182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8"/>
                <w:szCs w:val="18"/>
                <w:color w:val="auto"/>
              </w:rPr>
              <w:t>6,808,160</w:t>
            </w:r>
          </w:p>
        </w:tc>
        <w:tc>
          <w:tcPr>
            <w:tcW w:w="0" w:type="dxa"/>
            <w:vAlign w:val="bottom"/>
          </w:tcPr>
          <w:p>
            <w:pPr>
              <w:spacing w:after="0"/>
              <w:rPr>
                <w:sz w:val="1"/>
                <w:szCs w:val="1"/>
                <w:color w:val="auto"/>
              </w:rPr>
            </w:pPr>
          </w:p>
        </w:tc>
      </w:tr>
      <w:tr>
        <w:trPr>
          <w:trHeight w:val="238"/>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November 1, 2022 through November 30, 2022</w:t>
            </w:r>
          </w:p>
        </w:tc>
        <w:tc>
          <w:tcPr>
            <w:tcW w:w="15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671,294</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229.41</w:t>
            </w:r>
          </w:p>
        </w:tc>
        <w:tc>
          <w:tcPr>
            <w:tcW w:w="22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671,294</w:t>
            </w:r>
          </w:p>
        </w:tc>
        <w:tc>
          <w:tcPr>
            <w:tcW w:w="1960" w:type="dxa"/>
            <w:vAlign w:val="bottom"/>
            <w:gridSpan w:val="2"/>
          </w:tcPr>
          <w:p>
            <w:pPr>
              <w:jc w:val="right"/>
              <w:ind w:right="45"/>
              <w:spacing w:after="0"/>
              <w:rPr>
                <w:sz w:val="20"/>
                <w:szCs w:val="20"/>
                <w:color w:val="auto"/>
              </w:rPr>
            </w:pPr>
            <w:r>
              <w:rPr>
                <w:rFonts w:ascii="Times New Roman" w:cs="Times New Roman" w:eastAsia="Times New Roman" w:hAnsi="Times New Roman"/>
                <w:sz w:val="18"/>
                <w:szCs w:val="18"/>
                <w:color w:val="auto"/>
              </w:rPr>
              <w:t>6,136,866</w:t>
            </w:r>
          </w:p>
        </w:tc>
        <w:tc>
          <w:tcPr>
            <w:tcW w:w="0" w:type="dxa"/>
            <w:vAlign w:val="bottom"/>
          </w:tcPr>
          <w:p>
            <w:pPr>
              <w:spacing w:after="0"/>
              <w:rPr>
                <w:sz w:val="1"/>
                <w:szCs w:val="1"/>
                <w:color w:val="auto"/>
              </w:rPr>
            </w:pPr>
          </w:p>
        </w:tc>
      </w:tr>
      <w:tr>
        <w:trPr>
          <w:trHeight w:val="247"/>
        </w:trPr>
        <w:tc>
          <w:tcPr>
            <w:tcW w:w="4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December 1, 2022 through December 31, 2022</w:t>
            </w:r>
          </w:p>
        </w:tc>
        <w:tc>
          <w:tcPr>
            <w:tcW w:w="154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647,247</w:t>
            </w:r>
          </w:p>
        </w:tc>
        <w:tc>
          <w:tcPr>
            <w:tcW w:w="360" w:type="dxa"/>
            <w:vAlign w:val="bottom"/>
            <w:tcBorders>
              <w:bottom w:val="single" w:sz="8" w:color="CFF0FC"/>
            </w:tcBorders>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244.08</w:t>
            </w:r>
          </w:p>
        </w:tc>
        <w:tc>
          <w:tcPr>
            <w:tcW w:w="120" w:type="dxa"/>
            <w:vAlign w:val="bottom"/>
            <w:tcBorders>
              <w:bottom w:val="single" w:sz="8" w:color="CFF0FC"/>
            </w:tcBorders>
            <w:shd w:val="clear" w:color="auto" w:fill="CFF0FC"/>
          </w:tcPr>
          <w:p>
            <w:pPr>
              <w:spacing w:after="0"/>
              <w:rPr>
                <w:sz w:val="21"/>
                <w:szCs w:val="21"/>
                <w:color w:val="auto"/>
              </w:rPr>
            </w:pPr>
          </w:p>
        </w:tc>
        <w:tc>
          <w:tcPr>
            <w:tcW w:w="208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647,247</w:t>
            </w:r>
          </w:p>
        </w:tc>
        <w:tc>
          <w:tcPr>
            <w:tcW w:w="1960" w:type="dxa"/>
            <w:vAlign w:val="bottom"/>
            <w:tcBorders>
              <w:bottom w:val="single" w:sz="8" w:color="CFF0FC"/>
            </w:tcBorders>
            <w:gridSpan w:val="2"/>
            <w:shd w:val="clear" w:color="auto" w:fill="CFF0FC"/>
          </w:tcPr>
          <w:p>
            <w:pPr>
              <w:jc w:val="right"/>
              <w:ind w:right="45"/>
              <w:spacing w:after="0"/>
              <w:rPr>
                <w:sz w:val="20"/>
                <w:szCs w:val="20"/>
                <w:color w:val="auto"/>
              </w:rPr>
            </w:pPr>
            <w:r>
              <w:rPr>
                <w:rFonts w:ascii="Times New Roman" w:cs="Times New Roman" w:eastAsia="Times New Roman" w:hAnsi="Times New Roman"/>
                <w:sz w:val="18"/>
                <w:szCs w:val="18"/>
                <w:color w:val="auto"/>
              </w:rPr>
              <w:t>5,489,619</w:t>
            </w:r>
          </w:p>
        </w:tc>
        <w:tc>
          <w:tcPr>
            <w:tcW w:w="0" w:type="dxa"/>
            <w:vAlign w:val="bottom"/>
          </w:tcPr>
          <w:p>
            <w:pPr>
              <w:spacing w:after="0"/>
              <w:rPr>
                <w:sz w:val="1"/>
                <w:szCs w:val="1"/>
                <w:color w:val="auto"/>
              </w:rPr>
            </w:pPr>
          </w:p>
        </w:tc>
      </w:tr>
      <w:tr>
        <w:trPr>
          <w:trHeight w:val="236"/>
        </w:trPr>
        <w:tc>
          <w:tcPr>
            <w:tcW w:w="4060" w:type="dxa"/>
            <w:vAlign w:val="bottom"/>
          </w:tcPr>
          <w:p>
            <w:pPr>
              <w:spacing w:after="0"/>
              <w:rPr>
                <w:sz w:val="20"/>
                <w:szCs w:val="20"/>
                <w:color w:val="auto"/>
              </w:rPr>
            </w:pPr>
          </w:p>
        </w:tc>
        <w:tc>
          <w:tcPr>
            <w:tcW w:w="15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1,936,232</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227.38</w:t>
            </w:r>
          </w:p>
        </w:tc>
        <w:tc>
          <w:tcPr>
            <w:tcW w:w="22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1,936,232</w:t>
            </w:r>
          </w:p>
        </w:tc>
        <w:tc>
          <w:tcPr>
            <w:tcW w:w="1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3549650</wp:posOffset>
            </wp:positionH>
            <wp:positionV relativeFrom="paragraph">
              <wp:posOffset>-187960</wp:posOffset>
            </wp:positionV>
            <wp:extent cx="93980" cy="1885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-187960</wp:posOffset>
            </wp:positionV>
            <wp:extent cx="85725" cy="1885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04"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At December 31, 2022, the maximum number of shares that may be purchased under the existing stock repurchase program is 5,489,619, with approximately $1.3 billion remaining on the current open-ended repurchase authority granted by the board. An estimate of the maximum number of shares under the existing authorities was determined using the closing price of our ordinary shares on December 31, 2022 of $244.58.</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75"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2022, about the securities authorized for issuance under the Company’s equity compensation plans and is categorized according to whether or not the equity plan was previously approved by shareholders.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Shares to be Issued Upon</w:t>
            </w:r>
          </w:p>
        </w:tc>
        <w:tc>
          <w:tcPr>
            <w:tcW w:w="140" w:type="dxa"/>
            <w:vAlign w:val="bottom"/>
          </w:tcPr>
          <w:p>
            <w:pPr>
              <w:spacing w:after="0"/>
              <w:rPr>
                <w:sz w:val="17"/>
                <w:szCs w:val="17"/>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 Exercise Price of</w:t>
            </w:r>
          </w:p>
        </w:tc>
        <w:tc>
          <w:tcPr>
            <w:tcW w:w="1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Exercise of Outstanding Options,</w:t>
            </w:r>
          </w:p>
        </w:tc>
        <w:tc>
          <w:tcPr>
            <w:tcW w:w="140" w:type="dxa"/>
            <w:vAlign w:val="bottom"/>
          </w:tcPr>
          <w:p>
            <w:pPr>
              <w:spacing w:after="0"/>
              <w:rPr>
                <w:sz w:val="15"/>
                <w:szCs w:val="15"/>
                <w:color w:val="auto"/>
              </w:rPr>
            </w:pPr>
          </w:p>
        </w:tc>
        <w:tc>
          <w:tcPr>
            <w:tcW w:w="26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9"/>
              </w:rPr>
              <w:t>Outstanding Options, Warrants and</w:t>
            </w:r>
          </w:p>
        </w:tc>
        <w:tc>
          <w:tcPr>
            <w:tcW w:w="140" w:type="dxa"/>
            <w:vAlign w:val="bottom"/>
          </w:tcPr>
          <w:p>
            <w:pPr>
              <w:spacing w:after="0"/>
              <w:rPr>
                <w:sz w:val="15"/>
                <w:szCs w:val="15"/>
                <w:color w:val="auto"/>
              </w:rPr>
            </w:pPr>
          </w:p>
        </w:tc>
        <w:tc>
          <w:tcPr>
            <w:tcW w:w="27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Number of Shares Remaining</w:t>
            </w:r>
          </w:p>
        </w:tc>
        <w:tc>
          <w:tcPr>
            <w:tcW w:w="0" w:type="dxa"/>
            <w:vAlign w:val="bottom"/>
          </w:tcPr>
          <w:p>
            <w:pPr>
              <w:spacing w:after="0"/>
              <w:rPr>
                <w:sz w:val="1"/>
                <w:szCs w:val="1"/>
                <w:color w:val="auto"/>
              </w:rPr>
            </w:pPr>
          </w:p>
        </w:tc>
      </w:tr>
      <w:tr>
        <w:trPr>
          <w:trHeight w:val="259"/>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40" w:type="dxa"/>
            <w:vAlign w:val="bottom"/>
          </w:tcPr>
          <w:p>
            <w:pPr>
              <w:spacing w:after="0"/>
              <w:rPr>
                <w:sz w:val="22"/>
                <w:szCs w:val="22"/>
                <w:color w:val="auto"/>
              </w:rPr>
            </w:pP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Warrants and Rights</w:t>
            </w:r>
          </w:p>
        </w:tc>
        <w:tc>
          <w:tcPr>
            <w:tcW w:w="140" w:type="dxa"/>
            <w:vAlign w:val="bottom"/>
          </w:tcPr>
          <w:p>
            <w:pPr>
              <w:spacing w:after="0"/>
              <w:rPr>
                <w:sz w:val="22"/>
                <w:szCs w:val="22"/>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 xml:space="preserve">Rights </w:t>
            </w:r>
            <w:r>
              <w:rPr>
                <w:rFonts w:ascii="Times New Roman" w:cs="Times New Roman" w:eastAsia="Times New Roman" w:hAnsi="Times New Roman"/>
                <w:sz w:val="21"/>
                <w:szCs w:val="21"/>
                <w:b w:val="1"/>
                <w:bCs w:val="1"/>
                <w:color w:val="auto"/>
                <w:w w:val="97"/>
                <w:vertAlign w:val="superscript"/>
              </w:rPr>
              <w:t>(i)</w:t>
            </w:r>
          </w:p>
        </w:tc>
        <w:tc>
          <w:tcPr>
            <w:tcW w:w="140" w:type="dxa"/>
            <w:vAlign w:val="bottom"/>
          </w:tcPr>
          <w:p>
            <w:pPr>
              <w:spacing w:after="0"/>
              <w:rPr>
                <w:sz w:val="22"/>
                <w:szCs w:val="22"/>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 xml:space="preserve">Available for Future Issuance </w:t>
            </w:r>
            <w:r>
              <w:rPr>
                <w:rFonts w:ascii="Times New Roman" w:cs="Times New Roman" w:eastAsia="Times New Roman" w:hAnsi="Times New Roman"/>
                <w:sz w:val="21"/>
                <w:szCs w:val="21"/>
                <w:b w:val="1"/>
                <w:bCs w:val="1"/>
                <w:color w:val="auto"/>
                <w:w w:val="98"/>
                <w:vertAlign w:val="superscript"/>
              </w:rPr>
              <w:t>(iii)</w:t>
            </w:r>
          </w:p>
        </w:tc>
        <w:tc>
          <w:tcPr>
            <w:tcW w:w="0" w:type="dxa"/>
            <w:vAlign w:val="bottom"/>
          </w:tcPr>
          <w:p>
            <w:pPr>
              <w:spacing w:after="0"/>
              <w:rPr>
                <w:sz w:val="1"/>
                <w:szCs w:val="1"/>
                <w:color w:val="auto"/>
              </w:rPr>
            </w:pPr>
          </w:p>
        </w:tc>
      </w:tr>
      <w:tr>
        <w:trPr>
          <w:trHeight w:val="168"/>
        </w:trPr>
        <w:tc>
          <w:tcPr>
            <w:tcW w:w="2720" w:type="dxa"/>
            <w:vAlign w:val="bottom"/>
            <w:shd w:val="clear" w:color="auto" w:fill="CFF0FC"/>
          </w:tcPr>
          <w:p>
            <w:pPr>
              <w:jc w:val="center"/>
              <w:spacing w:after="0" w:line="168" w:lineRule="exact"/>
              <w:rPr>
                <w:sz w:val="20"/>
                <w:szCs w:val="20"/>
                <w:color w:val="auto"/>
              </w:rPr>
            </w:pPr>
            <w:r>
              <w:rPr>
                <w:rFonts w:ascii="Times New Roman" w:cs="Times New Roman" w:eastAsia="Times New Roman" w:hAnsi="Times New Roman"/>
                <w:sz w:val="16"/>
                <w:szCs w:val="16"/>
                <w:color w:val="auto"/>
              </w:rPr>
              <w:t>Equity Compensation Plans Approved</w:t>
            </w:r>
          </w:p>
        </w:tc>
        <w:tc>
          <w:tcPr>
            <w:tcW w:w="2860" w:type="dxa"/>
            <w:vAlign w:val="bottom"/>
            <w:gridSpan w:val="2"/>
            <w:vMerge w:val="restart"/>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w w:val="99"/>
              </w:rPr>
              <w:t>994,516</w:t>
            </w:r>
          </w:p>
        </w:tc>
        <w:tc>
          <w:tcPr>
            <w:tcW w:w="2820" w:type="dxa"/>
            <w:vAlign w:val="bottom"/>
            <w:gridSpan w:val="2"/>
            <w:vMerge w:val="restart"/>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w w:val="99"/>
              </w:rPr>
              <w:t>$116.27</w:t>
            </w:r>
          </w:p>
        </w:tc>
        <w:tc>
          <w:tcPr>
            <w:tcW w:w="2840" w:type="dxa"/>
            <w:vAlign w:val="bottom"/>
            <w:gridSpan w:val="2"/>
            <w:vMerge w:val="restart"/>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4,769,269</w:t>
            </w:r>
          </w:p>
        </w:tc>
        <w:tc>
          <w:tcPr>
            <w:tcW w:w="0" w:type="dxa"/>
            <w:vAlign w:val="bottom"/>
          </w:tcPr>
          <w:p>
            <w:pPr>
              <w:spacing w:after="0"/>
              <w:rPr>
                <w:sz w:val="1"/>
                <w:szCs w:val="1"/>
                <w:color w:val="auto"/>
              </w:rPr>
            </w:pPr>
          </w:p>
        </w:tc>
      </w:tr>
      <w:tr>
        <w:trPr>
          <w:trHeight w:val="257"/>
        </w:trPr>
        <w:tc>
          <w:tcPr>
            <w:tcW w:w="2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 xml:space="preserve">by Security Holders </w:t>
            </w:r>
            <w:r>
              <w:rPr>
                <w:rFonts w:ascii="Times New Roman" w:cs="Times New Roman" w:eastAsia="Times New Roman" w:hAnsi="Times New Roman"/>
                <w:sz w:val="21"/>
                <w:szCs w:val="21"/>
                <w:color w:val="auto"/>
                <w:w w:val="99"/>
                <w:vertAlign w:val="superscript"/>
              </w:rPr>
              <w:t>(ii)</w:t>
            </w:r>
          </w:p>
        </w:tc>
        <w:tc>
          <w:tcPr>
            <w:tcW w:w="2860" w:type="dxa"/>
            <w:vAlign w:val="bottom"/>
            <w:gridSpan w:val="2"/>
            <w:vMerge w:val="continue"/>
            <w:shd w:val="clear" w:color="auto" w:fill="CFF0FC"/>
          </w:tcPr>
          <w:p>
            <w:pPr>
              <w:spacing w:after="0"/>
              <w:rPr>
                <w:sz w:val="22"/>
                <w:szCs w:val="22"/>
                <w:color w:val="auto"/>
              </w:rPr>
            </w:pPr>
          </w:p>
        </w:tc>
        <w:tc>
          <w:tcPr>
            <w:tcW w:w="2820" w:type="dxa"/>
            <w:vAlign w:val="bottom"/>
            <w:gridSpan w:val="2"/>
            <w:vMerge w:val="continue"/>
            <w:shd w:val="clear" w:color="auto" w:fill="CFF0FC"/>
          </w:tcPr>
          <w:p>
            <w:pPr>
              <w:spacing w:after="0"/>
              <w:rPr>
                <w:sz w:val="22"/>
                <w:szCs w:val="22"/>
                <w:color w:val="auto"/>
              </w:rPr>
            </w:pPr>
          </w:p>
        </w:tc>
        <w:tc>
          <w:tcPr>
            <w:tcW w:w="2840" w:type="dxa"/>
            <w:vAlign w:val="bottom"/>
            <w:gridSpan w:val="2"/>
            <w:vMerge w:val="continue"/>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7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Equity Compensation Plans Not</w:t>
            </w:r>
          </w:p>
        </w:tc>
        <w:tc>
          <w:tcPr>
            <w:tcW w:w="2860" w:type="dxa"/>
            <w:vAlign w:val="bottom"/>
            <w:gridSpan w:val="2"/>
            <w:vMerge w:val="restart"/>
          </w:tcPr>
          <w:p>
            <w:pPr>
              <w:jc w:val="center"/>
              <w:ind w:left="59"/>
              <w:spacing w:after="0"/>
              <w:rPr>
                <w:sz w:val="20"/>
                <w:szCs w:val="20"/>
                <w:color w:val="auto"/>
              </w:rPr>
            </w:pPr>
            <w:r>
              <w:rPr>
                <w:rFonts w:ascii="Times New Roman" w:cs="Times New Roman" w:eastAsia="Times New Roman" w:hAnsi="Times New Roman"/>
                <w:sz w:val="16"/>
                <w:szCs w:val="16"/>
                <w:color w:val="auto"/>
                <w:w w:val="99"/>
              </w:rPr>
              <w:t>207</w:t>
            </w:r>
          </w:p>
        </w:tc>
        <w:tc>
          <w:tcPr>
            <w:tcW w:w="140" w:type="dxa"/>
            <w:vAlign w:val="bottom"/>
          </w:tcPr>
          <w:p>
            <w:pPr>
              <w:spacing w:after="0"/>
              <w:rPr>
                <w:sz w:val="15"/>
                <w:szCs w:val="15"/>
                <w:color w:val="auto"/>
              </w:rPr>
            </w:pPr>
          </w:p>
        </w:tc>
        <w:tc>
          <w:tcPr>
            <w:tcW w:w="2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5"/>
                <w:szCs w:val="15"/>
                <w:color w:val="auto"/>
              </w:rPr>
            </w:pPr>
          </w:p>
        </w:tc>
        <w:tc>
          <w:tcPr>
            <w:tcW w:w="2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 xml:space="preserve">Approved by Security Holders </w:t>
            </w:r>
            <w:r>
              <w:rPr>
                <w:rFonts w:ascii="Times New Roman" w:cs="Times New Roman" w:eastAsia="Times New Roman" w:hAnsi="Times New Roman"/>
                <w:sz w:val="21"/>
                <w:szCs w:val="21"/>
                <w:color w:val="auto"/>
                <w:w w:val="98"/>
                <w:vertAlign w:val="superscript"/>
              </w:rPr>
              <w:t>(iv)</w:t>
            </w:r>
          </w:p>
        </w:tc>
        <w:tc>
          <w:tcPr>
            <w:tcW w:w="286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26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2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27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4"/>
              </w:rPr>
              <w:t>Total</w:t>
            </w:r>
          </w:p>
        </w:tc>
        <w:tc>
          <w:tcPr>
            <w:tcW w:w="140" w:type="dxa"/>
            <w:vAlign w:val="bottom"/>
            <w:tcBorders>
              <w:bottom w:val="single" w:sz="8" w:color="CFF0FC"/>
            </w:tcBorders>
            <w:shd w:val="clear" w:color="auto" w:fill="CFF0FC"/>
          </w:tcPr>
          <w:p>
            <w:pPr>
              <w:spacing w:after="0"/>
              <w:rPr>
                <w:sz w:val="22"/>
                <w:szCs w:val="22"/>
                <w:color w:val="auto"/>
              </w:rPr>
            </w:pPr>
          </w:p>
        </w:tc>
        <w:tc>
          <w:tcPr>
            <w:tcW w:w="272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994,723</w:t>
            </w:r>
          </w:p>
        </w:tc>
        <w:tc>
          <w:tcPr>
            <w:tcW w:w="2820" w:type="dxa"/>
            <w:vAlign w:val="bottom"/>
            <w:tcBorders>
              <w:bottom w:val="single" w:sz="8" w:color="CFF0FC"/>
            </w:tcBorders>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w w:val="99"/>
              </w:rPr>
              <w:t>$116.27</w:t>
            </w:r>
          </w:p>
        </w:tc>
        <w:tc>
          <w:tcPr>
            <w:tcW w:w="140" w:type="dxa"/>
            <w:vAlign w:val="bottom"/>
            <w:tcBorders>
              <w:bottom w:val="single" w:sz="8" w:color="CFF0FC"/>
            </w:tcBorders>
            <w:shd w:val="clear" w:color="auto" w:fill="CFF0FC"/>
          </w:tcPr>
          <w:p>
            <w:pPr>
              <w:spacing w:after="0"/>
              <w:rPr>
                <w:sz w:val="22"/>
                <w:szCs w:val="22"/>
                <w:color w:val="auto"/>
              </w:rPr>
            </w:pPr>
          </w:p>
        </w:tc>
        <w:tc>
          <w:tcPr>
            <w:tcW w:w="270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4,769,269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3541395</wp:posOffset>
            </wp:positionH>
            <wp:positionV relativeFrom="paragraph">
              <wp:posOffset>-24765</wp:posOffset>
            </wp:positionV>
            <wp:extent cx="857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-7620</wp:posOffset>
            </wp:positionV>
            <wp:extent cx="857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95059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27" w:lineRule="exact"/>
        <w:rPr>
          <w:sz w:val="20"/>
          <w:szCs w:val="20"/>
          <w:color w:val="auto"/>
        </w:rPr>
      </w:pPr>
    </w:p>
    <w:p>
      <w:pPr>
        <w:ind w:left="280" w:right="220" w:hanging="272"/>
        <w:spacing w:after="0" w:line="251" w:lineRule="auto"/>
        <w:tabs>
          <w:tab w:leader="none" w:pos="2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weighted-average exercise price set forth in this column is calculated excluding restricted stock units (‘RSUs’) or other awards for which recipients are not required to pay an exercise price to receive the shares subject to the awards. The $116.27 is related to time-based options.</w:t>
      </w:r>
    </w:p>
    <w:p>
      <w:pPr>
        <w:ind w:left="280" w:right="300" w:hanging="272"/>
        <w:spacing w:after="0" w:line="249" w:lineRule="auto"/>
        <w:tabs>
          <w:tab w:leader="none" w:pos="2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options and RSUs outstanding under the Towers Watson &amp; Co. 2009 Long-Term Incentive Plan and the 2012 Equity Incentive Plan (‘2012 Plan’). The Company intends to only grant future awards under the 2012 Plan.</w:t>
      </w:r>
    </w:p>
    <w:p>
      <w:pPr>
        <w:ind w:left="280" w:right="500" w:hanging="272"/>
        <w:spacing w:after="0" w:line="242" w:lineRule="auto"/>
        <w:tabs>
          <w:tab w:leader="none" w:pos="2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available for issuance pursuant to awards that may be granted under the 2012 Plan (3,711,668 shares) and the 2010 North American Employee Stock Purchase Plan (1,057,601 shares).</w:t>
      </w:r>
    </w:p>
    <w:p>
      <w:pPr>
        <w:spacing w:after="0" w:line="1" w:lineRule="exact"/>
        <w:rPr>
          <w:rFonts w:ascii="Times New Roman" w:cs="Times New Roman" w:eastAsia="Times New Roman" w:hAnsi="Times New Roman"/>
          <w:sz w:val="14"/>
          <w:szCs w:val="14"/>
          <w:color w:val="auto"/>
        </w:rPr>
      </w:pPr>
    </w:p>
    <w:p>
      <w:pPr>
        <w:ind w:left="280" w:right="20" w:hanging="272"/>
        <w:spacing w:after="0" w:line="258" w:lineRule="auto"/>
        <w:tabs>
          <w:tab w:leader="none" w:pos="2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incentive stock options outstanding under the Extend Health, Inc. 2007 Equity Incentive Plan and the Liazon Corporation 2011 Equity Incentive Plan. The Company does not plan to grant future awards under these plans.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0"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3"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This discussion includes forward-looking statements. See ‘Disclaimer Regarding Forward-looking Statements’ for certain cautionary information regarding forward-looking statements and Part I, Item 1A Risk Factors for a list of factors that could cause actual results to differ materially from those predicted in those statements.</w:t>
      </w:r>
    </w:p>
    <w:p>
      <w:pPr>
        <w:spacing w:after="0" w:line="11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i w:val="1"/>
          <w:iCs w:val="1"/>
          <w:color w:val="auto"/>
        </w:rPr>
        <w:t>This discussion includes references to non-GAAP financial measures as defined in the rules of the SEC. We present such non-GAAP financial measures, specifically, adjusted, constant currency and organic non-GAAP financial measures, as we believe such information is of interest to the investment community because it provides additional meaningful methods of evaluating certain aspects of the Company’s operating performance from period to period on a basis that may not be otherwise apparent under U.S. GAAP, and these provide a measure against which our businesses may be assessed in the future.</w:t>
      </w:r>
    </w:p>
    <w:p>
      <w:pPr>
        <w:spacing w:after="0" w:line="109"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18"/>
          <w:szCs w:val="18"/>
          <w:i w:val="1"/>
          <w:iCs w:val="1"/>
          <w:color w:val="auto"/>
        </w:rPr>
        <w:t>Our methods of calculating these measures may differ from those used by other companies and therefore comparability may be limited. These financial measures should be viewed in addition to, not in lieu of, the consolidated financial statements for the year ended December 31, 2022.</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‘Non-GAAP Financial Measures’ below for further discussion of our adjusted, constant currency and organic non-GAAP financial measures.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Conditions</w:t>
      </w:r>
    </w:p>
    <w:p>
      <w:pPr>
        <w:spacing w:after="0" w:line="175" w:lineRule="exact"/>
        <w:rPr>
          <w:sz w:val="20"/>
          <w:szCs w:val="20"/>
          <w:color w:val="auto"/>
        </w:rPr>
      </w:pPr>
    </w:p>
    <w:p>
      <w:pPr>
        <w:ind w:right="440"/>
        <w:spacing w:after="0" w:line="265" w:lineRule="auto"/>
        <w:rPr>
          <w:sz w:val="20"/>
          <w:szCs w:val="20"/>
          <w:color w:val="auto"/>
        </w:rPr>
      </w:pPr>
      <w:r>
        <w:rPr>
          <w:rFonts w:ascii="Times New Roman" w:cs="Times New Roman" w:eastAsia="Times New Roman" w:hAnsi="Times New Roman"/>
          <w:sz w:val="18"/>
          <w:szCs w:val="18"/>
          <w:color w:val="auto"/>
        </w:rPr>
        <w:t>Typically, our business benefits from regulatory change, political risk or economic uncertainty. Insurance broking generally tracks the economy, but demand for both insurance broking and consulting services usually remains steady during times of uncertainty. We have some businesses, such as our health and benefits and administration businesses, which can be counter cyclical during the early period of a significant economic change.</w:t>
      </w:r>
    </w:p>
    <w:p>
      <w:pPr>
        <w:spacing w:after="0" w:line="12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Within our insurance and brokerage business, due to the cyclical nature of the insurance market and the impact of other market conditions on insurance premiums, commission revenue may vary widely between accounting periods. A period of low or declining premium rates, generally known as a ‘soft’ or ‘softening’ market, generally leads to downward pressure on commission revenue and can have a material adverse impact on our revenue and operating margin. A ‘hard’ or ‘firming’ market, during which premium rates rise, generally has a favorable impact on our revenue and operating margin. Rates, however, vary by geography, industry and client segment. As a result, and due to the global and diverse nature of our business, we view rates in the aggregate. Overall, we are currently seeing a modest but definite increase in pricing in the market.</w:t>
      </w:r>
    </w:p>
    <w:p>
      <w:pPr>
        <w:spacing w:after="0" w:line="132" w:lineRule="exact"/>
        <w:rPr>
          <w:sz w:val="20"/>
          <w:szCs w:val="20"/>
          <w:color w:val="auto"/>
        </w:rPr>
      </w:pPr>
    </w:p>
    <w:p>
      <w:pPr>
        <w:ind w:right="620"/>
        <w:spacing w:after="0" w:line="312" w:lineRule="auto"/>
        <w:rPr>
          <w:sz w:val="20"/>
          <w:szCs w:val="20"/>
          <w:color w:val="auto"/>
        </w:rPr>
      </w:pPr>
      <w:r>
        <w:rPr>
          <w:rFonts w:ascii="Times New Roman" w:cs="Times New Roman" w:eastAsia="Times New Roman" w:hAnsi="Times New Roman"/>
          <w:sz w:val="17"/>
          <w:szCs w:val="17"/>
          <w:color w:val="auto"/>
        </w:rPr>
        <w:t>Market conditions in the broking industry in which we operate are generally defined by factors such as the strength of the economies in the various geographic regions in which we serve around the world, insurance rate movements, and insurance and reinsurance buying patterns of our clients.</w:t>
      </w:r>
    </w:p>
    <w:p>
      <w:pPr>
        <w:spacing w:after="0" w:line="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markets for our consulting, technology and solutions, and marketplace services are affected by economic, regulatory and legislative changes, technological developments, and increased competition from established and new competitors. We believe that the primary factors in selecting a human resources or risk management consulting firm include reputation, the ability to provide measurable increases to shareholder value and return on investment, global scale, quality of service and the ability to tailor services to clients’ unique needs. In that regard, we are focused on developing and implementing technology, data and analytic solutions for both internal operations and for maintaining industry standards and meeting client preferences. We have made such investments from time to time and may decide, based on perceived business needs, to make investments in the future that may be different from past practice or what we currently anticipate.</w:t>
      </w:r>
    </w:p>
    <w:p>
      <w:pPr>
        <w:spacing w:after="0" w:line="13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With regard to the market for exchanges, we believe that clients base their decisions on a variety of factors that include the ability of the provider to deliver measurable cost savings for clients, a strong reputation for efficient execution and an innovative service delivery model and platform. Part of the employer-sponsored insurance market has matured and become more fragmented while other segments remain in the entry phase. As these market segments continue to evolve, we may experience growth in intervals, with periods of accelerated expansion balanced by periods of modest growth. In recent years, growth in the market for exchanges has slowed, and this trend may continue.</w:t>
      </w:r>
    </w:p>
    <w:p>
      <w:pPr>
        <w:spacing w:after="0" w:line="12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From time to time, including but not limited to the period after the announcement of the proposed Aon plc (‘Aon’) combination through the period that has followed the termination of the proposed combination, we have lost (and may in the future continue to lose) colleagues who manage substantial client relationships or possess substantial experience or expertise; when we lose colleagues such as those, it often results in such colleagues competing against us. Further, the full impact of this competition may be delayed due to the timing of restrictive covenants or client renewals. We believe that this dynamic, which was most pronounced in our Risk &amp;</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46" w:name="page47"/>
    <w:bookmarkEnd w:id="46"/>
    <w:p>
      <w:pPr>
        <w:ind w:right="280"/>
        <w:spacing w:after="0" w:line="265" w:lineRule="auto"/>
        <w:rPr>
          <w:sz w:val="20"/>
          <w:szCs w:val="20"/>
          <w:color w:val="auto"/>
        </w:rPr>
      </w:pPr>
      <w:r>
        <w:rPr>
          <w:rFonts w:ascii="Times New Roman" w:cs="Times New Roman" w:eastAsia="Times New Roman" w:hAnsi="Times New Roman"/>
          <w:sz w:val="18"/>
          <w:szCs w:val="18"/>
          <w:color w:val="auto"/>
        </w:rPr>
        <w:t>Broking segment during 2021, has caused the segment’s growth rate for 2022 to be meaningfully slower than other competitors. This dynamic may be difficult to predict, given that the adverse impact in future periods is more significant than in the periods in which employees departed. It is possible that growth could be different than expected and our results of operations could be significantly and adversely impacted by this factor going into 2023.</w:t>
      </w:r>
    </w:p>
    <w:p>
      <w:pPr>
        <w:spacing w:after="0" w:line="123" w:lineRule="exact"/>
        <w:rPr>
          <w:sz w:val="20"/>
          <w:szCs w:val="20"/>
          <w:color w:val="auto"/>
        </w:rPr>
      </w:pPr>
    </w:p>
    <w:p>
      <w:pPr>
        <w:ind w:right="1740"/>
        <w:spacing w:after="0" w:line="437" w:lineRule="auto"/>
        <w:rPr>
          <w:sz w:val="20"/>
          <w:szCs w:val="20"/>
          <w:color w:val="auto"/>
        </w:rPr>
      </w:pPr>
      <w:r>
        <w:rPr>
          <w:rFonts w:ascii="Times New Roman" w:cs="Times New Roman" w:eastAsia="Times New Roman" w:hAnsi="Times New Roman"/>
          <w:sz w:val="18"/>
          <w:szCs w:val="18"/>
          <w:color w:val="auto"/>
        </w:rPr>
        <w:t xml:space="preserve">See Part I, Item 1A Risk Factors in this Annual Report on Form 10-K for discussions of risks that may affect our ability to compete. </w:t>
      </w:r>
      <w:r>
        <w:rPr>
          <w:rFonts w:ascii="Times New Roman" w:cs="Times New Roman" w:eastAsia="Times New Roman" w:hAnsi="Times New Roman"/>
          <w:sz w:val="18"/>
          <w:szCs w:val="18"/>
          <w:b w:val="1"/>
          <w:bCs w:val="1"/>
          <w:i w:val="1"/>
          <w:iCs w:val="1"/>
          <w:color w:val="auto"/>
        </w:rPr>
        <w:t>Outlook Following Russia Divestiture</w:t>
      </w:r>
    </w:p>
    <w:p>
      <w:pPr>
        <w:spacing w:after="0" w:line="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the third quarter of 2022, we completed the transfer of ownership of our Russian subsidiaries to local management and, given current conditions, do not anticipate resuming operations in Russia within the foreseeable future. The Russian entities were primarily within our Risk &amp; Broking segment. We have estimated that the annualized run-rate impact from the divestiture of our Russian operations is approximately $120 million of revenue. Additionally, the Russian business was highly profitable, with operating margins in excess of double the enterprise-level margins. Because we did not receive significant proceeds in connection with the divestiture with which to reinvest in the business, the lost profits will adversely impact earnings, margins and cash flow. For additional information about the risks relating to lost profits following the divestiture of our Russian subsidiaries see Part I, Item 1A Risk Factors – ‘Our business, financial condition, results of operations, and long-term goals may continue to be adversely affected, possibly materially, by negative impacts on the global economy and capital markets resulting from the war between Russia and Ukraine or any other geopolitical tensions’.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Transformation Program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fourth quarter of 2021, we initiated a three-year ‘Transformation program’ designed to enhance operations, optimize technology and align our real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estate footprint to our new ways of working. During the third quarter of 2022, we revised the expected costs and savings under the program and we now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 the program to generate annual cost savings in excess of $360 million by the end of 2024. The program is expected to incur cumulative costs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$630 million and capital expenditures of approximately $270 million, for a total investment of $900 million. The main categories of charges will be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four areas:</w:t>
      </w:r>
    </w:p>
    <w:p>
      <w:pPr>
        <w:spacing w:after="0" w:line="152" w:lineRule="exact"/>
        <w:rPr>
          <w:sz w:val="20"/>
          <w:szCs w:val="20"/>
          <w:color w:val="auto"/>
        </w:rPr>
      </w:pPr>
    </w:p>
    <w:p>
      <w:pPr>
        <w:ind w:left="760" w:right="300" w:hanging="378"/>
        <w:spacing w:after="0" w:line="281"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rationalization — includes costs to align the real estate footprint to our new ways of working (hybrid work) and includes breakage fees and the impairment of right-of-use assets and other related leasehold assets.</w:t>
      </w:r>
    </w:p>
    <w:p>
      <w:pPr>
        <w:spacing w:after="0" w:line="108" w:lineRule="exact"/>
        <w:rPr>
          <w:rFonts w:ascii="Times New Roman" w:cs="Times New Roman" w:eastAsia="Times New Roman" w:hAnsi="Times New Roman"/>
          <w:sz w:val="18"/>
          <w:szCs w:val="18"/>
          <w:color w:val="auto"/>
        </w:rPr>
      </w:pPr>
    </w:p>
    <w:p>
      <w:pPr>
        <w:jc w:val="both"/>
        <w:ind w:left="760" w:hanging="378"/>
        <w:spacing w:after="0" w:line="265"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modernization — these charges are incurred in moving to common platforms and technologies, including migrating certain platforms and applications to the cloud. This category will include the impairment of technology assets that are duplicative or no longer revenue-producing, as well as costs for technology investments that do not qualify for capitalization.</w:t>
      </w:r>
    </w:p>
    <w:p>
      <w:pPr>
        <w:spacing w:after="0" w:line="123" w:lineRule="exact"/>
        <w:rPr>
          <w:rFonts w:ascii="Times New Roman" w:cs="Times New Roman" w:eastAsia="Times New Roman" w:hAnsi="Times New Roman"/>
          <w:sz w:val="18"/>
          <w:szCs w:val="18"/>
          <w:color w:val="auto"/>
        </w:rPr>
      </w:pPr>
    </w:p>
    <w:p>
      <w:pPr>
        <w:ind w:left="760" w:right="20" w:hanging="378"/>
        <w:spacing w:after="0" w:line="265"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 optimization — these costs will be incurred in the right-shoring strategy and automation of our operations, which will include optimizing resource deployment and appropriate colleague alignment. These costs will include process and organizational design costs, severance and separation-related costs and temporary retention costs.</w:t>
      </w:r>
    </w:p>
    <w:p>
      <w:pPr>
        <w:spacing w:after="0" w:line="123" w:lineRule="exact"/>
        <w:rPr>
          <w:rFonts w:ascii="Times New Roman" w:cs="Times New Roman" w:eastAsia="Times New Roman" w:hAnsi="Times New Roman"/>
          <w:sz w:val="18"/>
          <w:szCs w:val="18"/>
          <w:color w:val="auto"/>
        </w:rPr>
      </w:pPr>
    </w:p>
    <w:p>
      <w:pPr>
        <w:ind w:left="760" w:right="220" w:hanging="378"/>
        <w:spacing w:after="0" w:line="281"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 other costs not included above including fees for professional services, other contract terminations not related to the above categories and supplier migration costs.</w:t>
      </w:r>
    </w:p>
    <w:p>
      <w:pPr>
        <w:spacing w:after="0" w:line="10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Certain costs under the Transformation program are accounted for under ASC 420, </w:t>
      </w:r>
      <w:r>
        <w:rPr>
          <w:rFonts w:ascii="Times New Roman" w:cs="Times New Roman" w:eastAsia="Times New Roman" w:hAnsi="Times New Roman"/>
          <w:sz w:val="18"/>
          <w:szCs w:val="18"/>
          <w:i w:val="1"/>
          <w:iCs w:val="1"/>
          <w:color w:val="auto"/>
        </w:rPr>
        <w:t>Exit or Disposal Cost Obligation</w:t>
      </w:r>
      <w:r>
        <w:rPr>
          <w:rFonts w:ascii="Times New Roman" w:cs="Times New Roman" w:eastAsia="Times New Roman" w:hAnsi="Times New Roman"/>
          <w:sz w:val="18"/>
          <w:szCs w:val="18"/>
          <w:color w:val="auto"/>
        </w:rPr>
        <w:t xml:space="preserve">, and are included as restructuring costs in the consolidated statements of comprehensive income. For the years ended December 31, 2022 and 2021, restructuring charges under our Transformation program totaled $99 million and $26 million, respectively. Other costs incurred under the Transformation program are included in transaction and transformation, net and were $136 million for the year ended December 31, 2022. From the actions taken during 2022, we have identified an additional $129 million of annualized run-rate savings during the year due to newly-realized opportunities and incremental sources of value, and $149 million of cumulative annualized run-rate savings identified to date since the inception of the program, which savings overall are primarily </w:t>
      </w:r>
      <w:r>
        <w:rPr>
          <w:rFonts w:ascii="Times New Roman" w:cs="Times New Roman" w:eastAsia="Times New Roman" w:hAnsi="Times New Roman"/>
          <w:sz w:val="18"/>
          <w:szCs w:val="18"/>
          <w:color w:val="212121"/>
        </w:rPr>
        <w:t>attributable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 xml:space="preserve">reduction of real estate and technology costs, as well as process optimization. The benefits </w:t>
      </w:r>
      <w:r>
        <w:rPr>
          <w:rFonts w:ascii="Times New Roman" w:cs="Times New Roman" w:eastAsia="Times New Roman" w:hAnsi="Times New Roman"/>
          <w:sz w:val="18"/>
          <w:szCs w:val="18"/>
          <w:color w:val="000000"/>
        </w:rPr>
        <w:t>from the program began to be recognized during 2022.</w:t>
      </w:r>
    </w:p>
    <w:p>
      <w:pPr>
        <w:spacing w:after="0" w:line="135"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For a discussion of some of the risks associated with the Transformation program, please see Part I, Item 1A Risk Factors - ‘We may not be able to fully realize the anticipated benefits of our growth strategy’ and other Risk Factors in this Annual Report on Form 10-K.</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Financial Statement Overview</w:t>
      </w:r>
    </w:p>
    <w:p>
      <w:pPr>
        <w:spacing w:after="0" w:line="175"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8"/>
          <w:szCs w:val="18"/>
          <w:color w:val="auto"/>
        </w:rPr>
        <w:t>For management’s discussion of our results of operations for the year ended December 31, 2021 in comparison with the year ended December 31, 2020, please see our Annual Report on Form 10-K filed with the SEC on February 24, 2022.</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set forth our summarized consolidated statements of comprehensive income and data as a percentage of revenue for the periods indicated.</w:t>
      </w:r>
    </w:p>
    <w:p>
      <w:pPr>
        <w:spacing w:after="0" w:line="16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 in millions, except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3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3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411"/>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8,866</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100 %</w:t>
            </w:r>
          </w:p>
        </w:tc>
        <w:tc>
          <w:tcPr>
            <w:tcW w:w="7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8,998</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of providing services</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Salaries and benefits</w:t>
            </w:r>
          </w:p>
        </w:tc>
        <w:tc>
          <w:tcPr>
            <w:tcW w:w="440" w:type="dxa"/>
            <w:vAlign w:val="bottom"/>
          </w:tcPr>
          <w:p>
            <w:pPr>
              <w:spacing w:after="0"/>
              <w:rPr>
                <w:sz w:val="21"/>
                <w:szCs w:val="21"/>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5,065</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57 %</w:t>
            </w:r>
          </w:p>
        </w:tc>
        <w:tc>
          <w:tcPr>
            <w:tcW w:w="700" w:type="dxa"/>
            <w:vAlign w:val="bottom"/>
          </w:tcPr>
          <w:p>
            <w:pPr>
              <w:spacing w:after="0"/>
              <w:rPr>
                <w:sz w:val="21"/>
                <w:szCs w:val="21"/>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5,253</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58 %</w:t>
            </w:r>
          </w:p>
        </w:tc>
      </w:tr>
      <w:tr>
        <w:trPr>
          <w:trHeight w:val="243"/>
        </w:trPr>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440" w:type="dxa"/>
            <w:vAlign w:val="bottom"/>
          </w:tcPr>
          <w:p>
            <w:pPr>
              <w:spacing w:after="0"/>
              <w:rPr>
                <w:sz w:val="21"/>
                <w:szCs w:val="21"/>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1,776</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20 %</w:t>
            </w:r>
          </w:p>
        </w:tc>
        <w:tc>
          <w:tcPr>
            <w:tcW w:w="700" w:type="dxa"/>
            <w:vAlign w:val="bottom"/>
          </w:tcPr>
          <w:p>
            <w:pPr>
              <w:spacing w:after="0"/>
              <w:rPr>
                <w:sz w:val="21"/>
                <w:szCs w:val="21"/>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1,673</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19 %</w:t>
            </w:r>
          </w:p>
        </w:tc>
      </w:tr>
      <w:tr>
        <w:trPr>
          <w:trHeight w:val="243"/>
        </w:trPr>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440" w:type="dxa"/>
            <w:vAlign w:val="bottom"/>
          </w:tcPr>
          <w:p>
            <w:pPr>
              <w:spacing w:after="0"/>
              <w:rPr>
                <w:sz w:val="21"/>
                <w:szCs w:val="21"/>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255</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3 %</w:t>
            </w:r>
          </w:p>
        </w:tc>
        <w:tc>
          <w:tcPr>
            <w:tcW w:w="700" w:type="dxa"/>
            <w:vAlign w:val="bottom"/>
          </w:tcPr>
          <w:p>
            <w:pPr>
              <w:spacing w:after="0"/>
              <w:rPr>
                <w:sz w:val="21"/>
                <w:szCs w:val="21"/>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281</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r>
      <w:tr>
        <w:trPr>
          <w:trHeight w:val="243"/>
        </w:trPr>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440" w:type="dxa"/>
            <w:vAlign w:val="bottom"/>
          </w:tcPr>
          <w:p>
            <w:pPr>
              <w:spacing w:after="0"/>
              <w:rPr>
                <w:sz w:val="21"/>
                <w:szCs w:val="21"/>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312</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4 %</w:t>
            </w:r>
          </w:p>
        </w:tc>
        <w:tc>
          <w:tcPr>
            <w:tcW w:w="700" w:type="dxa"/>
            <w:vAlign w:val="bottom"/>
          </w:tcPr>
          <w:p>
            <w:pPr>
              <w:spacing w:after="0"/>
              <w:rPr>
                <w:sz w:val="21"/>
                <w:szCs w:val="21"/>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369</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r>
      <w:tr>
        <w:trPr>
          <w:trHeight w:val="243"/>
        </w:trPr>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440" w:type="dxa"/>
            <w:vAlign w:val="bottom"/>
          </w:tcPr>
          <w:p>
            <w:pPr>
              <w:spacing w:after="0"/>
              <w:rPr>
                <w:sz w:val="21"/>
                <w:szCs w:val="21"/>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99</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1 %</w:t>
            </w:r>
          </w:p>
        </w:tc>
        <w:tc>
          <w:tcPr>
            <w:tcW w:w="700" w:type="dxa"/>
            <w:vAlign w:val="bottom"/>
          </w:tcPr>
          <w:p>
            <w:pPr>
              <w:spacing w:after="0"/>
              <w:rPr>
                <w:sz w:val="21"/>
                <w:szCs w:val="21"/>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r>
      <w:tr>
        <w:trPr>
          <w:trHeight w:val="256"/>
        </w:trPr>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and transformation, net</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181</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2 %</w:t>
            </w:r>
          </w:p>
        </w:tc>
        <w:tc>
          <w:tcPr>
            <w:tcW w:w="7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32"/>
        </w:trPr>
        <w:tc>
          <w:tcPr>
            <w:tcW w:w="6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costs of providing services</w:t>
            </w:r>
          </w:p>
        </w:tc>
        <w:tc>
          <w:tcPr>
            <w:tcW w:w="4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7,688</w:t>
            </w:r>
          </w:p>
        </w:tc>
        <w:tc>
          <w:tcPr>
            <w:tcW w:w="10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6,796</w:t>
            </w:r>
          </w:p>
        </w:tc>
        <w:tc>
          <w:tcPr>
            <w:tcW w:w="1080" w:type="dxa"/>
            <w:vAlign w:val="bottom"/>
            <w:tcBorders>
              <w:bottom w:val="single" w:sz="8" w:color="CFF0FC"/>
            </w:tcBorders>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232"/>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440" w:type="dxa"/>
            <w:vAlign w:val="bottom"/>
          </w:tcPr>
          <w:p>
            <w:pPr>
              <w:spacing w:after="0"/>
              <w:rPr>
                <w:sz w:val="20"/>
                <w:szCs w:val="20"/>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1,178</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13 %</w:t>
            </w:r>
          </w:p>
        </w:tc>
        <w:tc>
          <w:tcPr>
            <w:tcW w:w="700" w:type="dxa"/>
            <w:vAlign w:val="bottom"/>
          </w:tcPr>
          <w:p>
            <w:pPr>
              <w:spacing w:after="0"/>
              <w:rPr>
                <w:sz w:val="20"/>
                <w:szCs w:val="20"/>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2,202</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24 %</w:t>
            </w:r>
          </w:p>
        </w:tc>
      </w:tr>
      <w:tr>
        <w:trPr>
          <w:trHeight w:val="238"/>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(2 )%</w:t>
            </w:r>
          </w:p>
        </w:tc>
        <w:tc>
          <w:tcPr>
            <w:tcW w:w="7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56"/>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288</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3 %</w:t>
            </w:r>
          </w:p>
        </w:tc>
        <w:tc>
          <w:tcPr>
            <w:tcW w:w="7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701</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r>
      <w:tr>
        <w:trPr>
          <w:trHeight w:val="204"/>
        </w:trPr>
        <w:tc>
          <w:tcPr>
            <w:tcW w:w="63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INCOME FROM CONTINUING OPERATIONS</w:t>
            </w: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BEFORE INCOME TAXES</w:t>
            </w:r>
          </w:p>
        </w:tc>
        <w:tc>
          <w:tcPr>
            <w:tcW w:w="440" w:type="dxa"/>
            <w:vAlign w:val="bottom"/>
          </w:tcPr>
          <w:p>
            <w:pPr>
              <w:spacing w:after="0"/>
              <w:rPr>
                <w:sz w:val="20"/>
                <w:szCs w:val="20"/>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1,258</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14 %</w:t>
            </w:r>
          </w:p>
        </w:tc>
        <w:tc>
          <w:tcPr>
            <w:tcW w:w="700" w:type="dxa"/>
            <w:vAlign w:val="bottom"/>
          </w:tcPr>
          <w:p>
            <w:pPr>
              <w:spacing w:after="0"/>
              <w:rPr>
                <w:sz w:val="20"/>
                <w:szCs w:val="20"/>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2,692</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30 %</w:t>
            </w:r>
          </w:p>
        </w:tc>
      </w:tr>
      <w:tr>
        <w:trPr>
          <w:trHeight w:val="256"/>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(2 )%</w:t>
            </w:r>
          </w:p>
        </w:tc>
        <w:tc>
          <w:tcPr>
            <w:tcW w:w="7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28"/>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440" w:type="dxa"/>
            <w:vAlign w:val="bottom"/>
          </w:tcPr>
          <w:p>
            <w:pPr>
              <w:spacing w:after="0"/>
              <w:rPr>
                <w:sz w:val="19"/>
                <w:szCs w:val="19"/>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1,064</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12 %</w:t>
            </w:r>
          </w:p>
        </w:tc>
        <w:tc>
          <w:tcPr>
            <w:tcW w:w="700" w:type="dxa"/>
            <w:vAlign w:val="bottom"/>
          </w:tcPr>
          <w:p>
            <w:pPr>
              <w:spacing w:after="0"/>
              <w:rPr>
                <w:sz w:val="19"/>
                <w:szCs w:val="19"/>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2,156</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24 %</w:t>
            </w:r>
          </w:p>
        </w:tc>
      </w:tr>
      <w:tr>
        <w:trPr>
          <w:trHeight w:val="21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(LOSS)/INCOME FROM DISCONTINUED OPERATIONS,</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6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OF TAX</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spacing w:after="0"/>
              <w:rPr>
                <w:sz w:val="20"/>
                <w:szCs w:val="20"/>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2,080</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23 %</w:t>
            </w:r>
          </w:p>
        </w:tc>
      </w:tr>
      <w:tr>
        <w:trPr>
          <w:trHeight w:val="256"/>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attributable to non-controlling interests</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r>
      <w:tr>
        <w:trPr>
          <w:trHeight w:val="236"/>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WTW</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1,009</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11 %</w:t>
            </w:r>
          </w:p>
        </w:tc>
        <w:tc>
          <w:tcPr>
            <w:tcW w:w="7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4,222</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47 %</w:t>
            </w:r>
          </w:p>
        </w:tc>
      </w:tr>
      <w:tr>
        <w:trPr>
          <w:trHeight w:val="20"/>
        </w:trPr>
        <w:tc>
          <w:tcPr>
            <w:tcW w:w="6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9"/>
        </w:trPr>
        <w:tc>
          <w:tcPr>
            <w:tcW w:w="6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earnings per share from continuing operations</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9.34</w:t>
            </w:r>
          </w:p>
        </w:tc>
        <w:tc>
          <w:tcPr>
            <w:tcW w:w="10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16.63</w:t>
            </w:r>
          </w:p>
        </w:tc>
        <w:tc>
          <w:tcPr>
            <w:tcW w:w="1080" w:type="dxa"/>
            <w:vAlign w:val="bottom"/>
            <w:tcBorders>
              <w:bottom w:val="single" w:sz="8" w:color="CFF0FC"/>
            </w:tcBorders>
            <w:shd w:val="clear" w:color="auto" w:fill="CFF0FC"/>
          </w:tcPr>
          <w:p>
            <w:pPr>
              <w:spacing w:after="0"/>
              <w:rPr>
                <w:sz w:val="22"/>
                <w:szCs w:val="22"/>
                <w:color w:val="auto"/>
              </w:rPr>
            </w:pPr>
          </w:p>
        </w:tc>
        <w:tc>
          <w:tcPr>
            <w:tcW w:w="1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-3304540</wp:posOffset>
            </wp:positionV>
            <wp:extent cx="7132320" cy="4711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4711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-2679700</wp:posOffset>
            </wp:positionV>
            <wp:extent cx="7132320" cy="1543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-2371090</wp:posOffset>
            </wp:positionV>
            <wp:extent cx="7132320" cy="1543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-1899920</wp:posOffset>
            </wp:positionV>
            <wp:extent cx="7132320" cy="3168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3168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-1420495</wp:posOffset>
            </wp:positionV>
            <wp:extent cx="7132320" cy="2908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7132320" cy="1543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-521970</wp:posOffset>
            </wp:positionV>
            <wp:extent cx="7132320" cy="3422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342265"/>
                    </a:xfrm>
                    <a:prstGeom prst="rect">
                      <a:avLst/>
                    </a:prstGeom>
                    <a:noFill/>
                  </pic:spPr>
                </pic:pic>
              </a:graphicData>
            </a:graphic>
          </wp:anchor>
        </w:drawing>
        <w:drawing>
          <wp:anchor simplePos="0" relativeHeight="251657728" behindDoc="1" locked="0" layoutInCell="0" allowOverlap="1">
            <wp:simplePos x="0" y="0"/>
            <wp:positionH relativeFrom="column">
              <wp:posOffset>4834255</wp:posOffset>
            </wp:positionH>
            <wp:positionV relativeFrom="paragraph">
              <wp:posOffset>-24765</wp:posOffset>
            </wp:positionV>
            <wp:extent cx="857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4834255</wp:posOffset>
            </wp:positionH>
            <wp:positionV relativeFrom="paragraph">
              <wp:posOffset>-7620</wp:posOffset>
            </wp:positionV>
            <wp:extent cx="857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-24765</wp:posOffset>
            </wp:positionV>
            <wp:extent cx="939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-7620</wp:posOffset>
            </wp:positionV>
            <wp:extent cx="939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Revenue (Continuing Operations)</w:t>
      </w:r>
    </w:p>
    <w:p>
      <w:pPr>
        <w:spacing w:after="0" w:line="175"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We derive the majority of our revenue from commissions from our brokerage services and fees for consulting and administration services. No single client represented a significant concentration of our consolidated revenue for any of our three most recent fiscal years.</w:t>
      </w:r>
    </w:p>
    <w:p>
      <w:pPr>
        <w:spacing w:after="0" w:line="109"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7"/>
          <w:szCs w:val="17"/>
          <w:color w:val="auto"/>
        </w:rPr>
        <w:t>The following table details our top five markets based on percentage of consolidated revenue (in U.S. dollars) from the countries where work was performed for the year ended December 31, 2022. These figures do not represent the currency of the related revenue, which is presented in the next table.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Geographic Region</w:t>
            </w:r>
          </w:p>
        </w:tc>
        <w:tc>
          <w:tcPr>
            <w:tcW w:w="56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60" w:type="dxa"/>
            <w:vAlign w:val="bottom"/>
          </w:tcPr>
          <w:p>
            <w:pPr>
              <w:spacing w:after="0"/>
              <w:rPr>
                <w:sz w:val="16"/>
                <w:szCs w:val="16"/>
                <w:color w:val="auto"/>
              </w:rPr>
            </w:pPr>
          </w:p>
        </w:tc>
      </w:tr>
      <w:tr>
        <w:trPr>
          <w:trHeight w:val="22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5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3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7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4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7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4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7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7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661"/>
        </w:trPr>
        <w:tc>
          <w:tcPr>
            <w:tcW w:w="3380" w:type="dxa"/>
            <w:vAlign w:val="bottom"/>
          </w:tcPr>
          <w:p>
            <w:pPr>
              <w:spacing w:after="0"/>
              <w:rPr>
                <w:sz w:val="24"/>
                <w:szCs w:val="24"/>
                <w:color w:val="auto"/>
              </w:rPr>
            </w:pPr>
          </w:p>
        </w:tc>
        <w:tc>
          <w:tcPr>
            <w:tcW w:w="5640" w:type="dxa"/>
            <w:vAlign w:val="bottom"/>
          </w:tcPr>
          <w:p>
            <w:pPr>
              <w:jc w:val="right"/>
              <w:ind w:right="3210"/>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3380" w:type="dxa"/>
            <w:vAlign w:val="bottom"/>
            <w:tcBorders>
              <w:bottom w:val="single" w:sz="8" w:color="9A9A9A"/>
            </w:tcBorders>
          </w:tcPr>
          <w:p>
            <w:pPr>
              <w:spacing w:after="0"/>
              <w:rPr>
                <w:sz w:val="9"/>
                <w:szCs w:val="9"/>
                <w:color w:val="auto"/>
              </w:rPr>
            </w:pPr>
          </w:p>
        </w:tc>
        <w:tc>
          <w:tcPr>
            <w:tcW w:w="56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-1266825</wp:posOffset>
            </wp:positionV>
            <wp:extent cx="7132320" cy="1543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-958215</wp:posOffset>
            </wp:positionV>
            <wp:extent cx="7132320" cy="1543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-650240</wp:posOffset>
            </wp:positionV>
            <wp:extent cx="7132320" cy="1543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522" w:right="239" w:bottom="1440" w:gutter="0" w:footer="0" w:header="0"/>
        </w:sectPr>
      </w:pPr>
    </w:p>
    <w:bookmarkStart w:id="48" w:name="page49"/>
    <w:bookmarkEnd w:id="48"/>
    <w:p>
      <w:pPr>
        <w:ind w:right="280"/>
        <w:spacing w:after="0" w:line="281" w:lineRule="auto"/>
        <w:rPr>
          <w:sz w:val="20"/>
          <w:szCs w:val="20"/>
          <w:color w:val="auto"/>
        </w:rPr>
      </w:pPr>
      <w:r>
        <w:rPr>
          <w:rFonts w:ascii="Times New Roman" w:cs="Times New Roman" w:eastAsia="Times New Roman" w:hAnsi="Times New Roman"/>
          <w:sz w:val="18"/>
          <w:szCs w:val="18"/>
          <w:color w:val="auto"/>
        </w:rPr>
        <w:t>The table below details the approximate percentage of our revenue and expenses from continuing operations by transactional currency for the year ended December 31, 2022.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Transactional Currency</w:t>
            </w:r>
          </w:p>
        </w:tc>
        <w:tc>
          <w:tcPr>
            <w:tcW w:w="140" w:type="dxa"/>
            <w:vAlign w:val="bottom"/>
          </w:tcPr>
          <w:p>
            <w:pPr>
              <w:spacing w:after="0"/>
              <w:rPr>
                <w:sz w:val="18"/>
                <w:szCs w:val="18"/>
                <w:color w:val="auto"/>
              </w:rPr>
            </w:pPr>
          </w:p>
        </w:tc>
        <w:tc>
          <w:tcPr>
            <w:tcW w:w="1840" w:type="dxa"/>
            <w:vAlign w:val="bottom"/>
            <w:gridSpan w:val="2"/>
          </w:tcPr>
          <w:p>
            <w:pPr>
              <w:jc w:val="right"/>
              <w:ind w:right="69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760" w:type="dxa"/>
            <w:vAlign w:val="bottom"/>
            <w:gridSpan w:val="2"/>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 xml:space="preserve">Expenses </w:t>
            </w:r>
            <w:r>
              <w:rPr>
                <w:rFonts w:ascii="Times New Roman" w:cs="Times New Roman" w:eastAsia="Times New Roman" w:hAnsi="Times New Roman"/>
                <w:sz w:val="19"/>
                <w:szCs w:val="19"/>
                <w:b w:val="1"/>
                <w:bCs w:val="1"/>
                <w:color w:val="auto"/>
                <w:vertAlign w:val="superscript"/>
              </w:rPr>
              <w:t>(i)</w:t>
            </w:r>
          </w:p>
        </w:tc>
      </w:tr>
      <w:tr>
        <w:trPr>
          <w:trHeight w:val="228"/>
        </w:trPr>
        <w:tc>
          <w:tcPr>
            <w:tcW w:w="7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 dollars</w:t>
            </w:r>
          </w:p>
        </w:tc>
        <w:tc>
          <w:tcPr>
            <w:tcW w:w="140" w:type="dxa"/>
            <w:vAlign w:val="bottom"/>
          </w:tcPr>
          <w:p>
            <w:pPr>
              <w:spacing w:after="0"/>
              <w:rPr>
                <w:sz w:val="19"/>
                <w:szCs w:val="19"/>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Pounds sterling</w:t>
            </w: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4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4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currencies</w:t>
            </w: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-607060</wp:posOffset>
            </wp:positionV>
            <wp:extent cx="7132320" cy="1543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95059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59" w:lineRule="exact"/>
        <w:rPr>
          <w:sz w:val="20"/>
          <w:szCs w:val="20"/>
          <w:color w:val="auto"/>
        </w:rPr>
      </w:pPr>
    </w:p>
    <w:p>
      <w:pPr>
        <w:ind w:left="280" w:right="160" w:hanging="272"/>
        <w:spacing w:after="0" w:line="258" w:lineRule="auto"/>
        <w:tabs>
          <w:tab w:leader="none" w:pos="2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percentages exclude certain expenses for significant items which will not be settled in cash, or which we believe to be items that are not core to our current or future operations. These items include amortization of intangible assets and transaction and transformation, net.</w:t>
      </w:r>
    </w:p>
    <w:p>
      <w:pPr>
        <w:spacing w:after="0" w:line="117"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The following table sets forth the total revenue for the years ended December 31, 2022 and 2021 and the components of the change in total revenue for the year ended December 31, 2022, as compared to the prior year. The components of the revenue change may not add due to rounding.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60" w:type="dxa"/>
            <w:vAlign w:val="bottom"/>
            <w:gridSpan w:val="4"/>
            <w:vMerge w:val="restart"/>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9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69"/>
        </w:trPr>
        <w:tc>
          <w:tcPr>
            <w:tcW w:w="19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1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 in</w:t>
            </w: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0"/>
              </w:rPr>
              <w:t>millions)</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9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8,866</w:t>
            </w:r>
          </w:p>
        </w:tc>
        <w:tc>
          <w:tcPr>
            <w:tcW w:w="120" w:type="dxa"/>
            <w:vAlign w:val="bottom"/>
            <w:tcBorders>
              <w:top w:val="single" w:sz="8" w:color="CFF0FC"/>
              <w:bottom w:val="single" w:sz="8" w:color="CFF0FC"/>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8,998</w:t>
            </w:r>
          </w:p>
        </w:tc>
        <w:tc>
          <w:tcPr>
            <w:tcW w:w="1260" w:type="dxa"/>
            <w:vAlign w:val="bottom"/>
            <w:tcBorders>
              <w:top w:val="single" w:sz="8" w:color="CFF0FC"/>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(1)%</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104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1300" w:type="dxa"/>
            <w:vAlign w:val="bottom"/>
            <w:tcBorders>
              <w:top w:val="single" w:sz="8" w:color="CFF0FC"/>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2%</w:t>
            </w:r>
          </w:p>
        </w:tc>
        <w:tc>
          <w:tcPr>
            <w:tcW w:w="1260" w:type="dxa"/>
            <w:vAlign w:val="bottom"/>
            <w:tcBorders>
              <w:top w:val="single" w:sz="8" w:color="CFF0FC"/>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(1)%</w:t>
            </w:r>
          </w:p>
        </w:tc>
        <w:tc>
          <w:tcPr>
            <w:tcW w:w="1140" w:type="dxa"/>
            <w:vAlign w:val="bottom"/>
            <w:tcBorders>
              <w:top w:val="single" w:sz="8" w:color="CFF0FC"/>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2214245</wp:posOffset>
            </wp:positionH>
            <wp:positionV relativeFrom="paragraph">
              <wp:posOffset>-24765</wp:posOffset>
            </wp:positionV>
            <wp:extent cx="768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-7620</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-187960</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3267075</wp:posOffset>
            </wp:positionH>
            <wp:positionV relativeFrom="paragraph">
              <wp:posOffset>-24765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3267075</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3267075</wp:posOffset>
            </wp:positionH>
            <wp:positionV relativeFrom="paragraph">
              <wp:posOffset>-538480</wp:posOffset>
            </wp:positionV>
            <wp:extent cx="68580" cy="3594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359410"/>
                    </a:xfrm>
                    <a:prstGeom prst="rect">
                      <a:avLst/>
                    </a:prstGeom>
                    <a:noFill/>
                  </pic:spPr>
                </pic:pic>
              </a:graphicData>
            </a:graphic>
          </wp:anchor>
        </w:drawing>
      </w:r>
    </w:p>
    <w:p>
      <w:pPr>
        <w:spacing w:after="0" w:line="17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Revenue for the year ended December 31, 2022 was $8.9 billion, compared to $9.0 billion for the year ended December 31, 2021, a decrease of $132 million, or 1%, on an as-reported basis. This decrease was primarily driven by unfavorable foreign currency exchange movement. Adjusting for the impact of foreign currency and acquisitions and disposals, our organic revenue growth was 4% for the year ended December 31, 2022. The increase in organic revenue was driven by both segments.</w:t>
      </w:r>
    </w:p>
    <w:p>
      <w:pPr>
        <w:spacing w:after="0" w:line="128" w:lineRule="exact"/>
        <w:rPr>
          <w:sz w:val="20"/>
          <w:szCs w:val="20"/>
          <w:color w:val="auto"/>
        </w:rPr>
      </w:pPr>
    </w:p>
    <w:p>
      <w:pPr>
        <w:jc w:val="both"/>
        <w:ind w:right="300"/>
        <w:spacing w:after="0" w:line="265" w:lineRule="auto"/>
        <w:rPr>
          <w:sz w:val="20"/>
          <w:szCs w:val="20"/>
          <w:color w:val="auto"/>
        </w:rPr>
      </w:pPr>
      <w:r>
        <w:rPr>
          <w:rFonts w:ascii="Times New Roman" w:cs="Times New Roman" w:eastAsia="Times New Roman" w:hAnsi="Times New Roman"/>
          <w:sz w:val="18"/>
          <w:szCs w:val="18"/>
          <w:color w:val="auto"/>
        </w:rPr>
        <w:t>Our revenue can be materially impacted by changes in currency conversions, which can fluctuate significantly over the course of a calendar year. For the year ended December 31, 2022, currency translation decreased our consolidated revenue by $335 million. The primary currencies driving these changes were the Euro and Pound sterling.</w:t>
      </w:r>
    </w:p>
    <w:p>
      <w:pPr>
        <w:spacing w:after="0" w:line="123"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Definitions of Constant Currency Change and Organic Change are included in the section entitled ‘Non-GAAP Financial Measures’ elsewhere within this Form 10-K.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Revenue</w:t>
      </w:r>
    </w:p>
    <w:p>
      <w:pPr>
        <w:spacing w:after="0" w:line="175"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8"/>
          <w:szCs w:val="18"/>
          <w:color w:val="auto"/>
        </w:rPr>
        <w:t>For further information on our segment reorganization and a full description of our businesses, please see Part I, Item 1, ‘Business – Segment Reorganization’ elsewhere within this Annual Report on Form 10-K. Due to the reorganization of our segments in 2022, prior-year segment information has been retrospectively adjusted to conform to the current-year presentation.</w:t>
      </w:r>
    </w:p>
    <w:p>
      <w:pPr>
        <w:spacing w:after="0" w:line="123" w:lineRule="exact"/>
        <w:rPr>
          <w:sz w:val="20"/>
          <w:szCs w:val="20"/>
          <w:color w:val="auto"/>
        </w:rPr>
      </w:pPr>
    </w:p>
    <w:p>
      <w:pPr>
        <w:ind w:right="280"/>
        <w:spacing w:after="0" w:line="288" w:lineRule="auto"/>
        <w:rPr>
          <w:sz w:val="20"/>
          <w:szCs w:val="20"/>
          <w:color w:val="auto"/>
        </w:rPr>
      </w:pPr>
      <w:r>
        <w:rPr>
          <w:rFonts w:ascii="Times New Roman" w:cs="Times New Roman" w:eastAsia="Times New Roman" w:hAnsi="Times New Roman"/>
          <w:sz w:val="17"/>
          <w:szCs w:val="17"/>
          <w:color w:val="auto"/>
        </w:rPr>
        <w:t>Segment revenue excludes amounts that were directly incurred on behalf of our clients and reimbursed by them (reimbursed expenses); however, these amounts are included in consolidated revenue, as permitted by applicable accounting standards and SEC rules. See Note 5 – Segment Information within Item 8 of this Annual Report on Form 10-K for more information about how our segment revenue is calculated and a reconciliation to our GAAP results.</w:t>
      </w:r>
    </w:p>
    <w:p>
      <w:pPr>
        <w:spacing w:after="0" w:line="105"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The Company experiences seasonal fluctuations in its revenue. Revenue is typically higher during the Company’s first and fourth quarters due primarily to the timing of broking-related activities.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all tables presented below, the components of the revenue change may not add due to rounding.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Wealth &amp; Career (‘HWC’)</w:t>
      </w:r>
    </w:p>
    <w:p>
      <w:pPr>
        <w:spacing w:after="0" w:line="175"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The HWC segment provides an array of advice, broking, solutions and technology for employee benefit plans, institutional investors, compensation and career programs, and the employee experience overall.</w:t>
      </w:r>
    </w:p>
    <w:p>
      <w:pPr>
        <w:spacing w:after="0" w:line="109"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HWC is the larger of the two segments of the Company, generating approximately 60% of our segment revenue for the year ended December 31, 2022. Addressing four key areas, Health, Wealth, Career and Benefits Delivery &amp; Outsourcing, the segment is focused on addressing our clients’ people and risk needs to help them succeed in a global marketplace.</w:t>
      </w:r>
    </w:p>
    <w:p>
      <w:pPr>
        <w:spacing w:after="0" w:line="200" w:lineRule="exact"/>
        <w:rPr>
          <w:sz w:val="20"/>
          <w:szCs w:val="20"/>
          <w:color w:val="auto"/>
        </w:rPr>
      </w:pPr>
    </w:p>
    <w:p>
      <w:pPr>
        <w:spacing w:after="0" w:line="2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64" w:right="279" w:bottom="1440" w:gutter="0" w:footer="0" w:header="0"/>
        </w:sectPr>
      </w:pPr>
    </w:p>
    <w:bookmarkStart w:id="49" w:name="page50"/>
    <w:bookmarkEnd w:id="49"/>
    <w:p>
      <w:pPr>
        <w:ind w:right="200"/>
        <w:spacing w:after="0" w:line="281" w:lineRule="auto"/>
        <w:rPr>
          <w:sz w:val="20"/>
          <w:szCs w:val="20"/>
          <w:color w:val="auto"/>
        </w:rPr>
      </w:pPr>
      <w:r>
        <w:rPr>
          <w:rFonts w:ascii="Times New Roman" w:cs="Times New Roman" w:eastAsia="Times New Roman" w:hAnsi="Times New Roman"/>
          <w:sz w:val="18"/>
          <w:szCs w:val="18"/>
          <w:color w:val="auto"/>
        </w:rPr>
        <w:t>The following table sets forth HWC segment revenue for the years ended December 31, 2022 and 2021, and the components of the change in revenue for the year ended December 31, 2022 from the year ended December 31, 2021.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20" w:type="dxa"/>
            <w:vAlign w:val="bottom"/>
            <w:gridSpan w:val="4"/>
            <w:vMerge w:val="restart"/>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14"/>
                <w:szCs w:val="14"/>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2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 in</w:t>
            </w:r>
          </w:p>
        </w:tc>
        <w:tc>
          <w:tcPr>
            <w:tcW w:w="54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72"/>
              </w:rPr>
              <w:t>millions)</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9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revenue</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8"/>
                <w:szCs w:val="18"/>
                <w:color w:val="auto"/>
              </w:rPr>
              <w:t>5,287</w:t>
            </w:r>
          </w:p>
        </w:tc>
        <w:tc>
          <w:tcPr>
            <w:tcW w:w="120" w:type="dxa"/>
            <w:vAlign w:val="bottom"/>
            <w:tcBorders>
              <w:top w:val="single" w:sz="8" w:color="CFF0FC"/>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5,268</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1240" w:type="dxa"/>
            <w:vAlign w:val="bottom"/>
            <w:tcBorders>
              <w:top w:val="single" w:sz="8" w:color="CFF0FC"/>
              <w:bottom w:val="single" w:sz="8" w:color="CFF0FC"/>
            </w:tcBorders>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1300" w:type="dxa"/>
            <w:vAlign w:val="bottom"/>
            <w:tcBorders>
              <w:top w:val="single" w:sz="8" w:color="CFF0FC"/>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4%</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114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CFF0FC"/>
              <w:bottom w:val="single" w:sz="8" w:color="CFF0FC"/>
            </w:tcBorders>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2197100</wp:posOffset>
            </wp:positionH>
            <wp:positionV relativeFrom="paragraph">
              <wp:posOffset>-24765</wp:posOffset>
            </wp:positionV>
            <wp:extent cx="768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2197100</wp:posOffset>
            </wp:positionH>
            <wp:positionV relativeFrom="paragraph">
              <wp:posOffset>-7620</wp:posOffset>
            </wp:positionV>
            <wp:extent cx="768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2197100</wp:posOffset>
            </wp:positionH>
            <wp:positionV relativeFrom="paragraph">
              <wp:posOffset>-187960</wp:posOffset>
            </wp:positionV>
            <wp:extent cx="768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3224530</wp:posOffset>
            </wp:positionH>
            <wp:positionV relativeFrom="paragraph">
              <wp:posOffset>-24765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3224530</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3224530</wp:posOffset>
            </wp:positionH>
            <wp:positionV relativeFrom="paragraph">
              <wp:posOffset>-538480</wp:posOffset>
            </wp:positionV>
            <wp:extent cx="68580" cy="3594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359410"/>
                    </a:xfrm>
                    <a:prstGeom prst="rect">
                      <a:avLst/>
                    </a:prstGeom>
                    <a:noFill/>
                  </pic:spPr>
                </pic:pic>
              </a:graphicData>
            </a:graphic>
          </wp:anchor>
        </w:drawing>
      </w:r>
    </w:p>
    <w:p>
      <w:pPr>
        <w:spacing w:after="0" w:line="17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HWC segment revenue for both the years ended December 31, 2022 and 2021 was $5.3 billion. Organic growth was led by the Benefits Delivery &amp; Outsourcing business driven by Medicare Advantage sales and its expanded client base. The Health business’ revenue grew from improved retention and expansion of our client portfolio. Career also contributed strong growth, driven by demand for our advisory services, survey offerings, compensation benchmarking products and project activity. Year-over-year organic growth in our Wealth businesses was flat, with increases from higher project activity across all regions, primarily related to financial market volatility and higher levels of regulatory work in Great Britain, offset by declines in our Investments business due to headwinds from the negative impact of capital market performance and performance fees received in the prior year.</w:t>
      </w:r>
    </w:p>
    <w:p>
      <w:pPr>
        <w:spacing w:after="0" w:line="186"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The following table sets forth HWC segment revenue for the years ended December 31, 2021 and 2020, and the components of the change in revenue for the year ended December 31, 2021 from the year ended December 31,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20" w:type="dxa"/>
            <w:vAlign w:val="bottom"/>
            <w:gridSpan w:val="4"/>
            <w:vMerge w:val="restart"/>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14"/>
                <w:szCs w:val="14"/>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2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 in</w:t>
            </w:r>
          </w:p>
        </w:tc>
        <w:tc>
          <w:tcPr>
            <w:tcW w:w="54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72"/>
              </w:rPr>
              <w:t>millions)</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9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revenue</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8"/>
                <w:szCs w:val="18"/>
                <w:color w:val="auto"/>
              </w:rPr>
              <w:t>5,268</w:t>
            </w:r>
          </w:p>
        </w:tc>
        <w:tc>
          <w:tcPr>
            <w:tcW w:w="120" w:type="dxa"/>
            <w:vAlign w:val="bottom"/>
            <w:tcBorders>
              <w:top w:val="single" w:sz="8" w:color="CFF0FC"/>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4,895</w:t>
            </w:r>
          </w:p>
        </w:tc>
        <w:tc>
          <w:tcPr>
            <w:tcW w:w="1240" w:type="dxa"/>
            <w:vAlign w:val="bottom"/>
            <w:tcBorders>
              <w:top w:val="single" w:sz="8" w:color="CFF0FC"/>
              <w:bottom w:val="single" w:sz="8" w:color="CFF0FC"/>
            </w:tcBorders>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8%</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108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300" w:type="dxa"/>
            <w:vAlign w:val="bottom"/>
            <w:tcBorders>
              <w:top w:val="single" w:sz="8" w:color="CFF0FC"/>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6%</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114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CFF0FC"/>
              <w:bottom w:val="single" w:sz="8" w:color="CFF0FC"/>
            </w:tcBorders>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2197100</wp:posOffset>
            </wp:positionH>
            <wp:positionV relativeFrom="paragraph">
              <wp:posOffset>-24765</wp:posOffset>
            </wp:positionV>
            <wp:extent cx="76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2197100</wp:posOffset>
            </wp:positionH>
            <wp:positionV relativeFrom="paragraph">
              <wp:posOffset>-7620</wp:posOffset>
            </wp:positionV>
            <wp:extent cx="768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2197100</wp:posOffset>
            </wp:positionH>
            <wp:positionV relativeFrom="paragraph">
              <wp:posOffset>-187960</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3224530</wp:posOffset>
            </wp:positionH>
            <wp:positionV relativeFrom="paragraph">
              <wp:posOffset>-24765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3224530</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3224530</wp:posOffset>
            </wp:positionH>
            <wp:positionV relativeFrom="paragraph">
              <wp:posOffset>-538480</wp:posOffset>
            </wp:positionV>
            <wp:extent cx="68580" cy="3594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359410"/>
                    </a:xfrm>
                    <a:prstGeom prst="rect">
                      <a:avLst/>
                    </a:prstGeom>
                    <a:noFill/>
                  </pic:spPr>
                </pic:pic>
              </a:graphicData>
            </a:graphic>
          </wp:anchor>
        </w:drawing>
      </w:r>
    </w:p>
    <w:p>
      <w:pPr>
        <w:spacing w:after="0" w:line="17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HWC segment revenue for the years ended December 31, 2021 and 2020 was $5.3 billion and $4.9 billion, respectively. On both an as-reported and organic basis, Benefits Delivery &amp; Administration was led by Individual Marketplace, primarily by TRANZACT, which had strong growth in Medicare Advantage sales. Career revenue growth was driven by strong market demand for rewards advisory work and talent and compensation products. Wealth revenue increased with notable growth in Europe, driven by funding advice and Guaranteed Minimum Pension equalization work, along with advisory-related fees in our Investments business. Health revenue grew from increased consulting work and a gain recorded in connection with a book-of-business settlement in North America, alongside continued expansion of our local portfolios and global benefits management appointments outside of North America. Benefits Delivery &amp; Outsourcing revenue increased primarily due to new project and client activity in Europe and in North America, driven by an expanded client base and project work stemming from temporary federal policy changes affecting group healthcare plans.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&amp; Broking (‘R&amp;B’)</w:t>
      </w:r>
    </w:p>
    <w:p>
      <w:pPr>
        <w:spacing w:after="0" w:line="175"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The R&amp;B segment provides a broad range of risk advice, insurance brokerage and consulting services to clients worldwide ranging from small businesses to multinational corporations.</w:t>
      </w:r>
    </w:p>
    <w:p>
      <w:pPr>
        <w:spacing w:after="0" w:line="109"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8"/>
          <w:szCs w:val="18"/>
          <w:color w:val="auto"/>
        </w:rPr>
        <w:t>R&amp;B generated approximately 40% of our segment revenue for the year ended December 31, 2022. The segment comprises two primary businesses - Corporate Risk &amp; Broking and Insurance Consulting and Technology.</w:t>
      </w:r>
    </w:p>
    <w:p>
      <w:pPr>
        <w:spacing w:after="0" w:line="109"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The following table sets forth R&amp;B segment revenue for the years ended December 31, 2022 and 2021, and the components of the change in revenue for the year ended December 31, 2022 from the year ended December 31, 2021.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20" w:type="dxa"/>
            <w:vAlign w:val="bottom"/>
            <w:gridSpan w:val="4"/>
            <w:vMerge w:val="restart"/>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14"/>
                <w:szCs w:val="14"/>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2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 in</w:t>
            </w:r>
          </w:p>
        </w:tc>
        <w:tc>
          <w:tcPr>
            <w:tcW w:w="54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72"/>
              </w:rPr>
              <w:t>millions)</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9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revenue</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8"/>
                <w:szCs w:val="18"/>
                <w:color w:val="auto"/>
              </w:rPr>
              <w:t>3,460</w:t>
            </w:r>
          </w:p>
        </w:tc>
        <w:tc>
          <w:tcPr>
            <w:tcW w:w="120" w:type="dxa"/>
            <w:vAlign w:val="bottom"/>
            <w:tcBorders>
              <w:top w:val="single" w:sz="8" w:color="CFF0FC"/>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3,564</w:t>
            </w:r>
          </w:p>
        </w:tc>
        <w:tc>
          <w:tcPr>
            <w:tcW w:w="1240" w:type="dxa"/>
            <w:vAlign w:val="bottom"/>
            <w:tcBorders>
              <w:top w:val="single" w:sz="8" w:color="CFF0FC"/>
              <w:bottom w:val="single" w:sz="8" w:color="CFF0FC"/>
            </w:tcBorders>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(3)%</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108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300" w:type="dxa"/>
            <w:vAlign w:val="bottom"/>
            <w:tcBorders>
              <w:top w:val="single" w:sz="8" w:color="CFF0FC"/>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2%</w:t>
            </w:r>
          </w:p>
        </w:tc>
        <w:tc>
          <w:tcPr>
            <w:tcW w:w="1240" w:type="dxa"/>
            <w:vAlign w:val="bottom"/>
            <w:tcBorders>
              <w:top w:val="single" w:sz="8" w:color="CFF0FC"/>
              <w:bottom w:val="single" w:sz="8" w:color="CFF0FC"/>
            </w:tcBorders>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w:t>
            </w:r>
          </w:p>
        </w:tc>
        <w:tc>
          <w:tcPr>
            <w:tcW w:w="1200" w:type="dxa"/>
            <w:vAlign w:val="bottom"/>
            <w:tcBorders>
              <w:top w:val="single" w:sz="8" w:color="CFF0FC"/>
              <w:bottom w:val="single" w:sz="8" w:color="CFF0FC"/>
            </w:tcBorders>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2197100</wp:posOffset>
            </wp:positionH>
            <wp:positionV relativeFrom="paragraph">
              <wp:posOffset>-24765</wp:posOffset>
            </wp:positionV>
            <wp:extent cx="768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2197100</wp:posOffset>
            </wp:positionH>
            <wp:positionV relativeFrom="paragraph">
              <wp:posOffset>-7620</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2197100</wp:posOffset>
            </wp:positionH>
            <wp:positionV relativeFrom="paragraph">
              <wp:posOffset>-187960</wp:posOffset>
            </wp:positionV>
            <wp:extent cx="76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3224530</wp:posOffset>
            </wp:positionH>
            <wp:positionV relativeFrom="paragraph">
              <wp:posOffset>-24765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3224530</wp:posOffset>
            </wp:positionH>
            <wp:positionV relativeFrom="paragraph">
              <wp:posOffset>-7620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3224530</wp:posOffset>
            </wp:positionH>
            <wp:positionV relativeFrom="paragraph">
              <wp:posOffset>-538480</wp:posOffset>
            </wp:positionV>
            <wp:extent cx="68580" cy="3594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359410"/>
                    </a:xfrm>
                    <a:prstGeom prst="rect">
                      <a:avLst/>
                    </a:prstGeom>
                    <a:noFill/>
                  </pic:spPr>
                </pic:pic>
              </a:graphicData>
            </a:graphic>
          </wp:anchor>
        </w:drawing>
      </w:r>
    </w:p>
    <w:p>
      <w:pPr>
        <w:spacing w:after="0" w:line="164" w:lineRule="exact"/>
        <w:rPr>
          <w:sz w:val="20"/>
          <w:szCs w:val="20"/>
          <w:color w:val="auto"/>
        </w:rPr>
      </w:pPr>
    </w:p>
    <w:p>
      <w:pPr>
        <w:jc w:val="both"/>
        <w:ind w:right="280"/>
        <w:spacing w:after="0" w:line="265" w:lineRule="auto"/>
        <w:rPr>
          <w:sz w:val="20"/>
          <w:szCs w:val="20"/>
          <w:color w:val="auto"/>
        </w:rPr>
      </w:pPr>
      <w:r>
        <w:rPr>
          <w:rFonts w:ascii="Times New Roman" w:cs="Times New Roman" w:eastAsia="Times New Roman" w:hAnsi="Times New Roman"/>
          <w:sz w:val="18"/>
          <w:szCs w:val="18"/>
          <w:color w:val="auto"/>
        </w:rPr>
        <w:t>R&amp;B segment revenue for the years ended December 31, 2022 and 2021 was $3.5 billion and $3.6 billion, respectively. This decrease on an as-reported basis was primarily driven by unfavorable foreign currency exchange movement. On an organic basis, CRB’s revenue grew across all regions, driven by our global lines of business, primarily Aerospace and Construction. ICT’s organic revenue grew from increased software sales and advisory work.</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50" w:name="page51"/>
    <w:bookmarkEnd w:id="50"/>
    <w:p>
      <w:pPr>
        <w:ind w:right="240"/>
        <w:spacing w:after="0" w:line="281" w:lineRule="auto"/>
        <w:rPr>
          <w:sz w:val="20"/>
          <w:szCs w:val="20"/>
          <w:color w:val="auto"/>
        </w:rPr>
      </w:pPr>
      <w:r>
        <w:rPr>
          <w:rFonts w:ascii="Times New Roman" w:cs="Times New Roman" w:eastAsia="Times New Roman" w:hAnsi="Times New Roman"/>
          <w:sz w:val="18"/>
          <w:szCs w:val="18"/>
          <w:color w:val="auto"/>
        </w:rPr>
        <w:t>The following table sets forth R&amp;B segment revenue for the years ended December 31, 2021 and 2020, and the components of the change in revenue for the year ended December 31, 2021 from the year ended December 31,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20" w:type="dxa"/>
            <w:vAlign w:val="bottom"/>
            <w:gridSpan w:val="4"/>
            <w:vMerge w:val="restart"/>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14"/>
                <w:szCs w:val="14"/>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2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 in</w:t>
            </w:r>
          </w:p>
        </w:tc>
        <w:tc>
          <w:tcPr>
            <w:tcW w:w="54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72"/>
              </w:rPr>
              <w:t>millions)</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9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revenue</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8"/>
                <w:szCs w:val="18"/>
                <w:color w:val="auto"/>
              </w:rPr>
              <w:t>3,564</w:t>
            </w:r>
          </w:p>
        </w:tc>
        <w:tc>
          <w:tcPr>
            <w:tcW w:w="120" w:type="dxa"/>
            <w:vAlign w:val="bottom"/>
            <w:tcBorders>
              <w:top w:val="single" w:sz="8" w:color="CFF0FC"/>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3,316</w:t>
            </w:r>
          </w:p>
        </w:tc>
        <w:tc>
          <w:tcPr>
            <w:tcW w:w="1240" w:type="dxa"/>
            <w:vAlign w:val="bottom"/>
            <w:tcBorders>
              <w:top w:val="single" w:sz="8" w:color="CFF0FC"/>
              <w:bottom w:val="single" w:sz="8" w:color="CFF0FC"/>
            </w:tcBorders>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7%</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108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300" w:type="dxa"/>
            <w:vAlign w:val="bottom"/>
            <w:tcBorders>
              <w:top w:val="single" w:sz="8" w:color="CFF0FC"/>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5%</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114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CFF0FC"/>
              <w:bottom w:val="single" w:sz="8" w:color="CFF0FC"/>
            </w:tcBorders>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2197100</wp:posOffset>
            </wp:positionH>
            <wp:positionV relativeFrom="paragraph">
              <wp:posOffset>-24765</wp:posOffset>
            </wp:positionV>
            <wp:extent cx="768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2197100</wp:posOffset>
            </wp:positionH>
            <wp:positionV relativeFrom="paragraph">
              <wp:posOffset>-7620</wp:posOffset>
            </wp:positionV>
            <wp:extent cx="768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2197100</wp:posOffset>
            </wp:positionH>
            <wp:positionV relativeFrom="paragraph">
              <wp:posOffset>-187960</wp:posOffset>
            </wp:positionV>
            <wp:extent cx="76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3224530</wp:posOffset>
            </wp:positionH>
            <wp:positionV relativeFrom="paragraph">
              <wp:posOffset>-24765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3224530</wp:posOffset>
            </wp:positionH>
            <wp:positionV relativeFrom="paragraph">
              <wp:posOffset>-7620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3224530</wp:posOffset>
            </wp:positionH>
            <wp:positionV relativeFrom="paragraph">
              <wp:posOffset>-538480</wp:posOffset>
            </wp:positionV>
            <wp:extent cx="68580" cy="3594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359410"/>
                    </a:xfrm>
                    <a:prstGeom prst="rect">
                      <a:avLst/>
                    </a:prstGeom>
                    <a:noFill/>
                  </pic:spPr>
                </pic:pic>
              </a:graphicData>
            </a:graphic>
          </wp:anchor>
        </w:drawing>
      </w:r>
    </w:p>
    <w:p>
      <w:pPr>
        <w:spacing w:after="0" w:line="17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R&amp;B segment revenue for the years ended December 31, 2021 and 2020 was $3.6 billion and $3.3 billion, respectively. On both an as-reported and organic basis, CRB North America led the segment with gains recorded in connection with book-of-business sales and settlements alongside strong renewals, primarily in FINEX, Marine, Aerospace and Construction. CRB International revenue increased with new business generation, primarily in the FINEX and Construction insurance lines. Advisory-related fees led the revenue growth in Insurance Consulting and Technology. CRB Revenue in Europe was down due to challenges related to senior staff departures.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of Providing Services (Continuing Operations)</w:t>
      </w:r>
    </w:p>
    <w:p>
      <w:pPr>
        <w:spacing w:after="0" w:line="175"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7"/>
          <w:szCs w:val="17"/>
          <w:color w:val="auto"/>
        </w:rPr>
        <w:t>Total costs of providing services for the year ended December 31, 2022 were $7.7 billion, compared to $6.8 billion for the year ended December 31, 2021, an increase of $892 million, or 13%. This increase was primarily due to the $1 billion income receipt related to the termination of our then-proposed Aon transaction, which was received during the third quarter of 2021 and partially offset total costs in that year. See the following discussion for further details.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Salaries and Benefits</w:t>
      </w:r>
    </w:p>
    <w:p>
      <w:pPr>
        <w:spacing w:after="0" w:line="17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Salaries and benefits for the year ended December 31, 2022 were $5.1 billion, compared to $5.3 billion for the year ended December 31, 2021, a decrease of $188 million, or 4%. The decrease in the current year is primarily due to lower salary expense related to our non-U.S. workforce resulting from favorable foreign currency exchange movements and lower discretionary and incentive costs. Overall, currency translation decreased our salaries and benefits expense by $234 million during 2022.</w:t>
      </w:r>
    </w:p>
    <w:p>
      <w:pPr>
        <w:spacing w:after="0" w:line="128" w:lineRule="exact"/>
        <w:rPr>
          <w:sz w:val="20"/>
          <w:szCs w:val="20"/>
          <w:color w:val="auto"/>
        </w:rPr>
      </w:pPr>
    </w:p>
    <w:p>
      <w:pPr>
        <w:ind w:right="1200"/>
        <w:spacing w:after="0" w:line="437" w:lineRule="auto"/>
        <w:rPr>
          <w:sz w:val="20"/>
          <w:szCs w:val="20"/>
          <w:color w:val="auto"/>
        </w:rPr>
      </w:pPr>
      <w:r>
        <w:rPr>
          <w:rFonts w:ascii="Times New Roman" w:cs="Times New Roman" w:eastAsia="Times New Roman" w:hAnsi="Times New Roman"/>
          <w:sz w:val="18"/>
          <w:szCs w:val="18"/>
          <w:color w:val="auto"/>
        </w:rPr>
        <w:t xml:space="preserve">Salaries and benefits, as a percentage of revenue, represented 57% and 58% for the years ended December 31, 2022 and 2021, respectively. </w:t>
      </w:r>
      <w:r>
        <w:rPr>
          <w:rFonts w:ascii="Times New Roman" w:cs="Times New Roman" w:eastAsia="Times New Roman" w:hAnsi="Times New Roman"/>
          <w:sz w:val="18"/>
          <w:szCs w:val="18"/>
          <w:i w:val="1"/>
          <w:iCs w:val="1"/>
          <w:color w:val="auto"/>
        </w:rPr>
        <w:t>Other Operating Expenses</w:t>
      </w:r>
    </w:p>
    <w:p>
      <w:pPr>
        <w:spacing w:after="0" w:line="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Other operating expenses include occupancy, legal, marketing, licenses, royalties, supplies, technology, printing and telephone costs, as well as insurance, including premiums on excess insurance and losses on professional liability claims, travel by colleagues, publications, professional subscriptions and development, recruitment, other professional fees and irrecoverable value-added and sales taxes. Additionally, other operating expenses included costs historically allocated to our Willis Re business which are partially offset by fees under a cost reimbursement Transition Services Agreement (‘TSA’; see Note 3 — Acquisitions and Divestitures within Item 8 of this Annual Report on Form 10-K) with Gallagher.</w:t>
      </w:r>
    </w:p>
    <w:p>
      <w:pPr>
        <w:spacing w:after="0" w:line="128"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Other operating expenses for the year ended December 31, 2022 were $1.8 billion, compared to $1.7 billion for the year ended December 31 2021, an increase of $103 million, or 6%. This increase was primarily due to asset impairments associated with our Russian divestiture. These impairments were mostly accounts receivables derived from Russian insurance contracts placed by U.K. brokers in the London market (see Note 3 — Acquisitions and Divestitures within Item 8 of this Annual Report on Form 10-K). Additionally, costs increased due to higher travel and entertainment costs as post-pandemic activity increased, local office expenses, professional services and business insurance costs. These costs were partially offset by lower non-income-related tax expense and occupancy costs which are the result of actions taken in our restructuring program.</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w:t>
      </w:r>
    </w:p>
    <w:p>
      <w:pPr>
        <w:spacing w:after="0" w:line="173" w:lineRule="exact"/>
        <w:rPr>
          <w:sz w:val="20"/>
          <w:szCs w:val="20"/>
          <w:color w:val="auto"/>
        </w:rPr>
      </w:pPr>
    </w:p>
    <w:p>
      <w:pPr>
        <w:jc w:val="both"/>
        <w:ind w:right="80"/>
        <w:spacing w:after="0" w:line="260" w:lineRule="auto"/>
        <w:rPr>
          <w:sz w:val="20"/>
          <w:szCs w:val="20"/>
          <w:color w:val="auto"/>
        </w:rPr>
      </w:pPr>
      <w:r>
        <w:rPr>
          <w:rFonts w:ascii="Times New Roman" w:cs="Times New Roman" w:eastAsia="Times New Roman" w:hAnsi="Times New Roman"/>
          <w:sz w:val="18"/>
          <w:szCs w:val="18"/>
          <w:color w:val="auto"/>
        </w:rPr>
        <w:t>Depreciation represents the expense incurred over the useful lives of our tangible fixed assets and internally-developed software. Depreciation for the year ended December 31, 2022 was $255 million, compared to $281 million for the year ended December 31, 2021, a decrease of $26 million, or 9%. The year-over-year decrease was primarily due to a lower depreciable base of assets resulting from business disposals over the last two years, a lower dollar value of assets placed in service during 2021 and favorable foreign currency exchange movements.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i w:val="1"/>
          <w:iCs w:val="1"/>
          <w:color w:val="auto"/>
        </w:rPr>
        <w:t>Amortization</w:t>
      </w:r>
    </w:p>
    <w:p>
      <w:pPr>
        <w:spacing w:after="0" w:line="17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Amortization represents the amortization of acquired intangible assets, including acquired internally-developed software. Amortization for the year ended December 31, 2022 was $312 million, compared to $369 million for the year ended December 31, 2021, a decrease of $57 million, or 15%. Our intangible amortization is generally more heavily weighted to the initial years of the useful lives of the related intangibles, and therefore amortization related to intangible assets will continue to decrease over time.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Costs</w:t>
      </w:r>
    </w:p>
    <w:p>
      <w:pPr>
        <w:spacing w:after="0" w:line="17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Restructuring costs for the years ended December 31, 2022 and 2021 were $99 million and $26 million, respectively. Restructuring costs in the current year primarily related to the real estate rationalization and technology modernization components of the Transformation program (see Transformation Program within this section and Note 6 — Restructuring Costs within Item 8 of this Annual Report on Form 10-K). Restructuring costs in the prior year primarily related to the real estate rationalization component of the Transformation program.</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and Transformation, Net</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Transaction and transformation, net for the year ended December 31, 2022 was $181 million of expenses, compared to income of $806 million for the year ended December 31, 2021. Transaction and transformation expenses for the current year were comprised of costs related to our Transformation program, primarily compensation costs and consulting fees, as well as legal fees and other transaction-related costs. The income for the prior year consisted mostly of the $1 billion income receipt related to the termination of our then-proposed combination with Aon, and was partially offset by legal and other professional fees related to this terminated transaction.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p>
      <w:pPr>
        <w:spacing w:after="0" w:line="17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Income from operations for the year ended December 31, 2022 was $1.2 billion, compared to $2.2 billion for the year ended December 31, 2021, a decrease of $1.0 billion. The decrease was primarily due to the prior-year $1 billion income receipt from the termination of the then-proposed Aon transaction, which resulted in lower total costs.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75"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Interest expense for the years ended December 31, 2022 and 2021 was $208 million and $211 million, respectively. Interest expense, which arose primarily from our senior notes, decreased by $3 million for the year ended December 31, 2022, which was primarily the result of lower average levels of indebtedness in the current year.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175"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Other income, net includes gains and losses on disposals of operations, pension credits or expenses that are not attributable to service expense, interest in earnings of associates, foreign exchange gains and losses and other miscellaneous non-operating income and costs.</w:t>
      </w:r>
    </w:p>
    <w:p>
      <w:pPr>
        <w:spacing w:after="0" w:line="109"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Other income, net for the year ended December 31, 2022 was $288 million, compared to $701 million for the year ended December 31, 2021, a decrease of $413 million. Other income, net decreased primarily due to the prior year including the net gain on disposal of our Miller business (see Note 3 — Acquisitions and Divestitures within Item 8 of this Annual Report on Form 10-K).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Provision for income taxes on continuing operations for the year ended December 31, 2022 was $194 million, compared to $536 million for the year ended December 31, 2021. The effective tax rates for the years ended December 31, 2022 and 2021 were 15.4% and 19.9%, respectively. These effective tax rates are calculated using extended values from our consolidated statements of comprehensive income and are therefore more precise tax rates than can be calculated from rounded values. The current-year effective tax rate includes a $34 million tax benefit associated with amending the Company’s U.S. federal income tax returns for tax years 2019 and 2020, primarily related to the reduction of Base Erosion and Anti Abuse Tax (‘BEAT’). The prior-year effective tax rate includes a $250 million estimated tax expense related to the income receipt associated with the termination of our then-proposed combination with Aon, as well as a $40 million tax expense related to the remeasurement of deferred tax assets and liabilities associated with an increase in the U.K. tax rate from 19% to 25%.</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(Loss)/Income from Discontinued Operations, Net of Tax</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as it relates to income from discontinued operations, net of tax:</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40" w:type="dxa"/>
            <w:vAlign w:val="bottom"/>
            <w:tcBorders>
              <w:bottom w:val="single" w:sz="8" w:color="auto"/>
            </w:tcBorders>
          </w:tcPr>
          <w:p>
            <w:pPr>
              <w:spacing w:after="0"/>
              <w:rPr>
                <w:sz w:val="16"/>
                <w:szCs w:val="16"/>
                <w:color w:val="auto"/>
              </w:rPr>
            </w:pPr>
          </w:p>
        </w:tc>
      </w:tr>
      <w:tr>
        <w:trPr>
          <w:trHeight w:val="223"/>
        </w:trPr>
        <w:tc>
          <w:tcPr>
            <w:tcW w:w="7700" w:type="dxa"/>
            <w:vAlign w:val="bottom"/>
          </w:tcPr>
          <w:p>
            <w:pPr>
              <w:spacing w:after="0"/>
              <w:rPr>
                <w:sz w:val="19"/>
                <w:szCs w:val="19"/>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9"/>
                <w:szCs w:val="19"/>
                <w:color w:val="auto"/>
              </w:rPr>
            </w:pP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Pr>
          <w:p>
            <w:pPr>
              <w:spacing w:after="0"/>
              <w:rPr>
                <w:sz w:val="19"/>
                <w:szCs w:val="19"/>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from discontinued operations</w:t>
            </w:r>
          </w:p>
        </w:tc>
        <w:tc>
          <w:tcPr>
            <w:tcW w:w="1120" w:type="dxa"/>
            <w:vAlign w:val="bottom"/>
            <w:tcBorders>
              <w:top w:val="single" w:sz="8" w:color="auto"/>
            </w:tcBorders>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721</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of providing services</w:t>
            </w: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47"/>
        </w:trPr>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Salaries and benefits</w:t>
            </w:r>
          </w:p>
        </w:tc>
        <w:tc>
          <w:tcPr>
            <w:tcW w:w="112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350</w:t>
            </w:r>
          </w:p>
        </w:tc>
      </w:tr>
      <w:tr>
        <w:trPr>
          <w:trHeight w:val="238"/>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120" w:type="dxa"/>
            <w:vAlign w:val="bottom"/>
          </w:tcPr>
          <w:p>
            <w:pPr>
              <w:spacing w:after="0"/>
              <w:rPr>
                <w:sz w:val="20"/>
                <w:szCs w:val="20"/>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r>
      <w:tr>
        <w:trPr>
          <w:trHeight w:val="247"/>
        </w:trPr>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112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38"/>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 and transformation, net</w:t>
            </w:r>
          </w:p>
        </w:tc>
        <w:tc>
          <w:tcPr>
            <w:tcW w:w="1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r>
      <w:tr>
        <w:trPr>
          <w:trHeight w:val="240"/>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costs of providing services</w:t>
            </w:r>
          </w:p>
        </w:tc>
        <w:tc>
          <w:tcPr>
            <w:tcW w:w="112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444</w:t>
            </w:r>
          </w:p>
        </w:tc>
      </w:tr>
      <w:tr>
        <w:trPr>
          <w:trHeight w:val="238"/>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1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4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before income taxes</w:t>
            </w:r>
          </w:p>
        </w:tc>
        <w:tc>
          <w:tcPr>
            <w:tcW w:w="112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279</w:t>
            </w:r>
          </w:p>
        </w:tc>
      </w:tr>
      <w:tr>
        <w:trPr>
          <w:trHeight w:val="238"/>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(Loss)/gain on disposal of Willis Re</w:t>
            </w:r>
          </w:p>
        </w:tc>
        <w:tc>
          <w:tcPr>
            <w:tcW w:w="1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2,300</w:t>
            </w:r>
          </w:p>
        </w:tc>
      </w:tr>
      <w:tr>
        <w:trPr>
          <w:trHeight w:val="247"/>
        </w:trPr>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Benefit from/(provision for) income tax expense</w:t>
            </w:r>
          </w:p>
        </w:tc>
        <w:tc>
          <w:tcPr>
            <w:tcW w:w="112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38"/>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(payable to)/receivable from Gallagher on Deferred Closing</w:t>
            </w:r>
          </w:p>
        </w:tc>
        <w:tc>
          <w:tcPr>
            <w:tcW w:w="1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76"/>
        </w:trPr>
        <w:tc>
          <w:tcPr>
            <w:tcW w:w="77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(Loss)/income from discontinued operations, net of tax</w:t>
            </w:r>
          </w:p>
        </w:tc>
        <w:tc>
          <w:tcPr>
            <w:tcW w:w="1120" w:type="dxa"/>
            <w:vAlign w:val="bottom"/>
            <w:tcBorders>
              <w:bottom w:val="single" w:sz="8" w:color="auto"/>
            </w:tcBorders>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8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5955665</wp:posOffset>
            </wp:positionH>
            <wp:positionV relativeFrom="paragraph">
              <wp:posOffset>-24765</wp:posOffset>
            </wp:positionV>
            <wp:extent cx="12001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-7620</wp:posOffset>
            </wp:positionV>
            <wp:extent cx="12001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(Loss)/income from discontinued operations, net of tax for the years ended December 31, 2022 and 2021 was a loss of $40 million and income of $2.1 billion, respectively. The operations of our Willis Re business were reclassified to discontinued operations upon our entering into an agreement to sell the business during the third quarter of 2021 (see Note 3 - Acquisitions and Divestitures within Item 8 of this Annual Report on Form 10-K). Gains and losses from discontinued operations in the current year are primarily attributable to the adjustments to the gain on disposal resulting from finalizing the value of the net assets transferred and the operations of the deferred closing entities and run-off activity associated with the divestiture.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Attributable to WTW</w:t>
      </w:r>
    </w:p>
    <w:p>
      <w:pPr>
        <w:spacing w:after="0" w:line="175"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Net income attributable to WTW for the year ended December 31, 2022 was $1.0 billion, compared to $4.2 billion for the year ended December 31, 2021, a decrease of $3.2 billion, or 76%. This decrease was primarily due to lower net income from the discontinued operations of our Willis Re business and the prior-year $1 billion income receipt related to the termination of our then-proposed combination with Aon.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175"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Our principal sources of liquidity are funds generated by operating activities, available cash and cash equivalents and amounts available under our revolving credit facilities and any new debt offerings. These sources of liquidity will fund our short-term and long-term obligations at December 31, 2022. Our most significant long-term obligations include mandatory debt and related interest, operating leases and pension obligations and contributions to our qualified pension plans.</w:t>
      </w:r>
    </w:p>
    <w:p>
      <w:pPr>
        <w:spacing w:after="0" w:line="12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There has been significant volatility in financial markets, including occasional declines in equity markets, inflation and changes in interest rates and reduced liquidity on a global basis. Specific to WTW, over the past few years, the COVID-19 pandemic had an initial negative impact on discretionary work we perform for our clients, but we subsequently saw increased demand for these services begin to return in the second quarter of 2021 and continue during 2022. Although reduced in 2020 and 2021, spending on travel and associated expenses has increased in 2022 following the return to office for many companies which has increased in-person interactions.</w:t>
      </w:r>
    </w:p>
    <w:p>
      <w:pPr>
        <w:spacing w:after="0" w:line="12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Based on our current balance sheet and cash flows, current market conditions and information available to us at this time, we believe that WTW has access to sufficient liquidity, which includes all of the borrowing capacity available to draw against our $1.5 billion revolving credit facility, to meet our cash needs for the next twelve months, including investments in the business for growth, scheduled debt repayments, share repurchases and dividend payments. During the year ended December 31, 2022, we completed an offering of $750 million aggregate principal amount of 4.650% senior notes due 2027, using the proceeds in part to repay in full our €540 million ($582 million on the date of repayment) aggregate principal amount of 2.125% Senior Notes due 2022 ($594 million including accrued interest), which were to mature during the second quarter of 2022. Additionally, during 2022, our board of directors approved a $1.0 billion increase to the existing share repurchase program, and during the year ended December 31, 2022 we repurchased $3.5 billion of shares, with remaining authorization to repurchase an additional $1.3 billion.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53" w:name="page54"/>
    <w:bookmarkEnd w:id="53"/>
    <w:p>
      <w:pPr>
        <w:ind w:right="120"/>
        <w:spacing w:after="0" w:line="312" w:lineRule="auto"/>
        <w:rPr>
          <w:sz w:val="20"/>
          <w:szCs w:val="20"/>
          <w:color w:val="auto"/>
        </w:rPr>
      </w:pPr>
      <w:r>
        <w:rPr>
          <w:rFonts w:ascii="Times New Roman" w:cs="Times New Roman" w:eastAsia="Times New Roman" w:hAnsi="Times New Roman"/>
          <w:sz w:val="17"/>
          <w:szCs w:val="17"/>
          <w:color w:val="auto"/>
        </w:rPr>
        <w:t>From time to time, we will consider whether to repurchase shares based on many factors, including market and economic conditions, applicable legal requirements and other business considerations. The share repurchase program has no termination date and may be suspended or discontinued at any time.</w:t>
      </w:r>
    </w:p>
    <w:p>
      <w:pPr>
        <w:spacing w:after="0" w:line="8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Before its disposal last year, Willis Re’s operating cash flows approximated its pre-tax income and any adjustments for working capital movements (see Note 3 — Acquisitions and Divestitures in Item 8 within this Annual Report on Form 10-K). Certain costs historically allocated to the Willis Re business are included in continuing operations and were retained following the disposal, but are being partially offset by reimbursements through the TSA. Costs incurred to service the TSA are expected to be reduced as part of the Company’s Transformation program as quickly as possible when the services are no longer required by Gallagher.</w:t>
      </w:r>
    </w:p>
    <w:p>
      <w:pPr>
        <w:spacing w:after="0" w:line="128"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Events that could change the historical cash flow dynamics discussed above include significant changes in operating results, potential future acquisitions or divestitures, material changes in geographic sources of cash, unexpected adverse impacts from litigation or regulatory matters, or future pension funding during periods of severe downturn in the capital markets.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Distributable Profits - </w:t>
      </w:r>
      <w:r>
        <w:rPr>
          <w:rFonts w:ascii="Times New Roman" w:cs="Times New Roman" w:eastAsia="Times New Roman" w:hAnsi="Times New Roman"/>
          <w:sz w:val="18"/>
          <w:szCs w:val="18"/>
          <w:color w:val="auto"/>
        </w:rPr>
        <w:t>We are required under Irish law to have available ‘distributable profits’ to make share repurchases or pay dividends to shareholders.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Distributable profits are created through the earnings of the Irish parent company and, among other methods, through intercompany dividends or a reduction in share capital approved by the High Court of Ireland. Distributable profits are not linked to a U.S. GAAP reported amount (e.g. retained earnings). At WTW's Annual General Meeting on June 8, 2022, its shareholders voted in favor of a proposed capital reduction. In accordance with Part 3 of the Irish Companies Act 2014 the Parent Company submitted an application to the High Court of Ireland to reduce its share premium account. On July 19, 2022, the High Court of Ireland approved a reduction of the share premium account of the Parent Company of approximately $9.5 billion, with the resulting balance being treated as realized profits of the Parent Company. The High Court of Ireland's order was registered with the Irish Companies Registration Office and became effective on July 21, 2022.</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Tax considerations - </w:t>
      </w:r>
      <w:r>
        <w:rPr>
          <w:rFonts w:ascii="Times New Roman" w:cs="Times New Roman" w:eastAsia="Times New Roman" w:hAnsi="Times New Roman"/>
          <w:sz w:val="18"/>
          <w:szCs w:val="18"/>
          <w:color w:val="auto"/>
        </w:rPr>
        <w:t>The Company recognizes deferred tax balances related to the undistributed earnings of subsidiaries when it expects that it will recover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undistributed earnings in a taxable manner, such as through receipt of dividends or sale of the investments. We continue to have certain subsidiaries whose earnings have not been deemed permanently reinvested, for which we have been accruing estimates of the tax effects of such repatriation. Excluding these certain subsidiaries, we continue to assert that the historical cumulative earnings for the remainder of our subsidiaries have been reinvested indefinitely and therefore do not provide deferred taxes on these amounts. If future events, including material changes in estimates of cash, working capital, long-term investment requirements or additional legislation, necessitate that these earnings be distributed, an additional provision for income and foreign withholding taxes, net of credits, may be necessary. Other potential sources of cash may be through the settlement of intercompany loans or return of capital distributions in a tax-efficient manner.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Our cash and cash equivalents at December 31, 2022 and 2021 totaled $1.3 billion and $4.5 billion, respectively. The decrease in cash from December 31, 2021 to December 31, 2022 was due primarily to $3.5 billion of share repurchases.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we had all of the borrowing capacity available to draw against our $1.5 billion revolving credit facility at December 31, 2022.</w:t>
      </w:r>
    </w:p>
    <w:p>
      <w:pPr>
        <w:spacing w:after="0" w:line="171"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Included within cash and cash equivalents at December 31, 2022 and 2021 are amounts held for regulatory capital adequacy requirements, including $99 million and $120 million, respectively, held within our regulated U.K. entities.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Summarized Consolidated 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summarized consolidated cash flow information for the years ended: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60" w:type="dxa"/>
            <w:vAlign w:val="bottom"/>
          </w:tcPr>
          <w:p>
            <w:pPr>
              <w:spacing w:after="0"/>
              <w:rPr>
                <w:sz w:val="15"/>
                <w:szCs w:val="15"/>
                <w:color w:val="auto"/>
              </w:rPr>
            </w:pPr>
          </w:p>
        </w:tc>
        <w:tc>
          <w:tcPr>
            <w:tcW w:w="2480" w:type="dxa"/>
            <w:vAlign w:val="bottom"/>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0" w:type="dxa"/>
            <w:vAlign w:val="bottom"/>
          </w:tcPr>
          <w:p>
            <w:pPr>
              <w:spacing w:after="0"/>
              <w:rPr>
                <w:sz w:val="15"/>
                <w:szCs w:val="15"/>
                <w:color w:val="auto"/>
              </w:rPr>
            </w:pPr>
          </w:p>
        </w:tc>
      </w:tr>
      <w:tr>
        <w:trPr>
          <w:trHeight w:val="187"/>
        </w:trPr>
        <w:tc>
          <w:tcPr>
            <w:tcW w:w="816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r>
      <w:tr>
        <w:trPr>
          <w:trHeight w:val="169"/>
        </w:trPr>
        <w:tc>
          <w:tcPr>
            <w:tcW w:w="8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(in</w:t>
            </w:r>
          </w:p>
        </w:tc>
        <w:tc>
          <w:tcPr>
            <w:tcW w:w="1040" w:type="dxa"/>
            <w:vAlign w:val="bottom"/>
            <w:gridSpan w:val="2"/>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w w:val="76"/>
              </w:rPr>
              <w:t>millions)</w:t>
            </w:r>
          </w:p>
        </w:tc>
        <w:tc>
          <w:tcPr>
            <w:tcW w:w="600" w:type="dxa"/>
            <w:vAlign w:val="bottom"/>
          </w:tcPr>
          <w:p>
            <w:pPr>
              <w:spacing w:after="0"/>
              <w:rPr>
                <w:sz w:val="14"/>
                <w:szCs w:val="14"/>
                <w:color w:val="auto"/>
              </w:rPr>
            </w:pPr>
          </w:p>
        </w:tc>
      </w:tr>
      <w:tr>
        <w:trPr>
          <w:trHeight w:val="24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from/(used in):</w:t>
            </w:r>
          </w:p>
        </w:tc>
        <w:tc>
          <w:tcPr>
            <w:tcW w:w="8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82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812</w:t>
            </w:r>
          </w:p>
        </w:tc>
        <w:tc>
          <w:tcPr>
            <w:tcW w:w="104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2,061</w:t>
            </w: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8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2,570</w:t>
            </w:r>
          </w:p>
        </w:tc>
      </w:tr>
      <w:tr>
        <w:trPr>
          <w:trHeight w:val="238"/>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activities</w:t>
            </w:r>
          </w:p>
        </w:tc>
        <w:tc>
          <w:tcPr>
            <w:tcW w:w="8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(3,445 )</w:t>
            </w:r>
          </w:p>
        </w:tc>
        <w:tc>
          <w:tcPr>
            <w:tcW w:w="2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(3,114 )</w:t>
            </w:r>
          </w:p>
        </w:tc>
      </w:tr>
      <w:tr>
        <w:trPr>
          <w:trHeight w:val="209"/>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(DECREASE)/INCREASE IN CASH, CASH EQUIVALENTS AND</w:t>
            </w:r>
          </w:p>
        </w:tc>
        <w:tc>
          <w:tcPr>
            <w:tcW w:w="8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r>
      <w:tr>
        <w:trPr>
          <w:trHeight w:val="248"/>
        </w:trPr>
        <w:tc>
          <w:tcPr>
            <w:tcW w:w="8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8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(2,806 )</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1,517</w:t>
            </w:r>
          </w:p>
        </w:tc>
      </w:tr>
      <w:tr>
        <w:trPr>
          <w:trHeight w:val="238"/>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8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(127 )</w:t>
            </w:r>
          </w:p>
        </w:tc>
      </w:tr>
      <w:tr>
        <w:trPr>
          <w:trHeight w:val="195"/>
        </w:trPr>
        <w:tc>
          <w:tcPr>
            <w:tcW w:w="8160" w:type="dxa"/>
            <w:vAlign w:val="bottom"/>
            <w:shd w:val="clear" w:color="auto" w:fill="CFF0FC"/>
          </w:tcPr>
          <w:p>
            <w:pPr>
              <w:ind w:left="20"/>
              <w:spacing w:after="0" w:line="195" w:lineRule="exact"/>
              <w:rPr>
                <w:sz w:val="20"/>
                <w:szCs w:val="20"/>
                <w:color w:val="auto"/>
              </w:rPr>
            </w:pPr>
            <w:r>
              <w:rPr>
                <w:rFonts w:ascii="Times New Roman" w:cs="Times New Roman" w:eastAsia="Times New Roman" w:hAnsi="Times New Roman"/>
                <w:sz w:val="18"/>
                <w:szCs w:val="18"/>
                <w:color w:val="auto"/>
              </w:rPr>
              <w:t>CASH, CASH EQUIVALENTS AND RESTRICTED CASH, BEGINNING OF</w:t>
            </w:r>
          </w:p>
        </w:tc>
        <w:tc>
          <w:tcPr>
            <w:tcW w:w="8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r>
      <w:tr>
        <w:trPr>
          <w:trHeight w:val="254"/>
        </w:trPr>
        <w:tc>
          <w:tcPr>
            <w:tcW w:w="8160" w:type="dxa"/>
            <w:vAlign w:val="bottom"/>
            <w:tcBorders>
              <w:bottom w:val="single" w:sz="8" w:color="CFF0FC"/>
            </w:tcBorders>
            <w:shd w:val="clear" w:color="auto" w:fill="CFF0FC"/>
          </w:tcPr>
          <w:p>
            <w:pPr>
              <w:ind w:left="140"/>
              <w:spacing w:after="0" w:line="255" w:lineRule="exact"/>
              <w:rPr>
                <w:sz w:val="20"/>
                <w:szCs w:val="20"/>
                <w:color w:val="auto"/>
              </w:rPr>
            </w:pPr>
            <w:r>
              <w:rPr>
                <w:rFonts w:ascii="Times New Roman" w:cs="Times New Roman" w:eastAsia="Times New Roman" w:hAnsi="Times New Roman"/>
                <w:sz w:val="18"/>
                <w:szCs w:val="18"/>
                <w:color w:val="auto"/>
              </w:rPr>
              <w:t xml:space="preserve">YEAR </w:t>
            </w:r>
            <w:r>
              <w:rPr>
                <w:rFonts w:ascii="Times New Roman" w:cs="Times New Roman" w:eastAsia="Times New Roman" w:hAnsi="Times New Roman"/>
                <w:sz w:val="24"/>
                <w:szCs w:val="24"/>
                <w:color w:val="auto"/>
                <w:vertAlign w:val="superscript"/>
              </w:rPr>
              <w:t>(i)</w:t>
            </w:r>
          </w:p>
        </w:tc>
        <w:tc>
          <w:tcPr>
            <w:tcW w:w="82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7,691</w:t>
            </w:r>
          </w:p>
        </w:tc>
        <w:tc>
          <w:tcPr>
            <w:tcW w:w="20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6,301</w:t>
            </w:r>
          </w:p>
        </w:tc>
      </w:tr>
      <w:tr>
        <w:trPr>
          <w:trHeight w:val="236"/>
        </w:trPr>
        <w:tc>
          <w:tcPr>
            <w:tcW w:w="8160" w:type="dxa"/>
            <w:vAlign w:val="bottom"/>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CASH, CASH EQUIVALENTS AND RESTRICTED CASH, END OF YEAR </w:t>
            </w:r>
            <w:r>
              <w:rPr>
                <w:rFonts w:ascii="Times New Roman" w:cs="Times New Roman" w:eastAsia="Times New Roman" w:hAnsi="Times New Roman"/>
                <w:sz w:val="24"/>
                <w:szCs w:val="24"/>
                <w:color w:val="auto"/>
                <w:vertAlign w:val="superscript"/>
              </w:rPr>
              <w:t>(i)</w:t>
            </w:r>
          </w:p>
        </w:tc>
        <w:tc>
          <w:tcPr>
            <w:tcW w:w="82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4,721</w:t>
            </w:r>
          </w:p>
        </w:tc>
        <w:tc>
          <w:tcPr>
            <w:tcW w:w="104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7,691</w:t>
            </w:r>
          </w:p>
        </w:tc>
      </w:tr>
      <w:tr>
        <w:trPr>
          <w:trHeight w:val="20"/>
        </w:trPr>
        <w:tc>
          <w:tcPr>
            <w:tcW w:w="8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6092825</wp:posOffset>
            </wp:positionH>
            <wp:positionV relativeFrom="paragraph">
              <wp:posOffset>-187960</wp:posOffset>
            </wp:positionV>
            <wp:extent cx="128270" cy="1885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827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3" w:lineRule="exact"/>
        <w:rPr>
          <w:sz w:val="20"/>
          <w:szCs w:val="20"/>
          <w:color w:val="auto"/>
        </w:rPr>
      </w:pPr>
    </w:p>
    <w:p>
      <w:pPr>
        <w:ind w:left="280" w:right="60" w:hanging="272"/>
        <w:spacing w:after="0" w:line="252" w:lineRule="auto"/>
        <w:tabs>
          <w:tab w:leader="none" w:pos="2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amounts of the cash, cash equivalents and restricted cash, their respective classification on the consolidated balance sheets, as well as their respective portions of the increase or decrease in cash, cash equivalents and restricted cash for each of the periods presented, have been included in Note 21 </w:t>
      </w:r>
      <w:r>
        <w:rPr>
          <w:rFonts w:ascii="Calibri" w:cs="Calibri" w:eastAsia="Calibri" w:hAnsi="Calibri"/>
          <w:sz w:val="14"/>
          <w:szCs w:val="14"/>
          <w:color w:val="auto"/>
        </w:rPr>
        <w:t>—</w:t>
      </w:r>
      <w:r>
        <w:rPr>
          <w:rFonts w:ascii="Times New Roman" w:cs="Times New Roman" w:eastAsia="Times New Roman" w:hAnsi="Times New Roman"/>
          <w:sz w:val="14"/>
          <w:szCs w:val="14"/>
          <w:color w:val="auto"/>
        </w:rPr>
        <w:t xml:space="preserve"> Supplemental Disclosures of Cash Flow Information within Item 8 of this Annual Report on Form 10-K.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Cash flows from operating activities were $812 million for 2022, compared to $2.1 billion for 2021. The $812 million net cash from operating activities for 2022 included net income of $1.0 billion, and $676 million of favorable non-cash adjustments, partially offset by unfavorable changes in operating assets and liabilities of $888 million. The $676 million of favorable non-cash adjustments primarily includes depreciation, amortization and non-cash lease expense. The decrease in cash flows from operating activities as compared to the prior year was due primarily to the prior-year income receipt of $1 billion related to the termination of the then-proposed Aon transaction, 2022 tax payments related to this income receipt, and the elimination of Willis Re cash generation following the divestiture.</w:t>
      </w:r>
    </w:p>
    <w:p>
      <w:pPr>
        <w:spacing w:after="0" w:line="13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Cash flows from operating activities of $2.1 billion for 2021 included net income of $4.2 billion, partially offset by $1.7 billion of unfavorable non-cash adjustments and by unfavorable changes in operating assets and liabilities of $449 million. The $1.7 billion of unfavorable non-cash adjustments primarily includes the net gains on sales of operations, depreciation, amortization and non-cash lease expense. The cash flows from operating activities for 2021 mostly included the $1 billion of income receipt related to the termination of the proposed Aon transaction, partially offset by $383 million in tax payments primarily related to the disposal of Willis Re and the income receipt of the termination payment, net legal settlement payments of $185 million and $250 million of increased bonus and benefit-related payments made during the year ended December 31, 2021.</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In)/From Investing Activities</w:t>
      </w:r>
    </w:p>
    <w:p>
      <w:pPr>
        <w:spacing w:after="0" w:line="175"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Cash flows used in investing activities for the year ended December 31, 2022 were $173 million compared to cash flows from investing activities of $2.6 billion for the year ended December 31, 2021. The cash flows used in investing activities for the year ended December 31, 2022 consisted of capital expenditures and capitalized software additions of $204 million and net cash outflows for acquisitions and divestitures of $169 million, partially offset by sales of investments of $200 million.</w:t>
      </w:r>
    </w:p>
    <w:p>
      <w:pPr>
        <w:spacing w:after="0" w:line="128"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18"/>
          <w:szCs w:val="18"/>
          <w:color w:val="auto"/>
        </w:rPr>
        <w:t>Cash flows from investing activities for the year ended December 31, 2021 were $2.6 billion, which primarily included the proceeds from the sale of Willis Re of $3.3 billion and Miller of $696 million and other smaller disposals, partially offset by cash and fiduciary funds transferred on disposal of $1.0 billion, purchases of investments of $200 million, capital expenditures and capitalized software additions of $201 million and net cash paid for acquisitions of $47 million.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Financing Activities</w:t>
      </w:r>
    </w:p>
    <w:p>
      <w:pPr>
        <w:spacing w:after="0" w:line="175"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Cash flows used in financing activities for the year ended December 31, 2022 were $3.4 billion. The significant financing activities included share repurchases of $3.5 billion, debt repayments of $585 million and dividend payments of $369 million, partially offset by $750 million of net proceeds from issuance of debt and $354 million of net proceeds from fiduciary funds held for clients.</w:t>
      </w:r>
    </w:p>
    <w:p>
      <w:pPr>
        <w:spacing w:after="0" w:line="123" w:lineRule="exact"/>
        <w:rPr>
          <w:sz w:val="20"/>
          <w:szCs w:val="20"/>
          <w:color w:val="auto"/>
        </w:rPr>
      </w:pPr>
    </w:p>
    <w:p>
      <w:pPr>
        <w:ind w:right="700"/>
        <w:spacing w:after="0" w:line="281" w:lineRule="auto"/>
        <w:rPr>
          <w:sz w:val="20"/>
          <w:szCs w:val="20"/>
          <w:color w:val="auto"/>
        </w:rPr>
      </w:pPr>
      <w:r>
        <w:rPr>
          <w:rFonts w:ascii="Times New Roman" w:cs="Times New Roman" w:eastAsia="Times New Roman" w:hAnsi="Times New Roman"/>
          <w:sz w:val="18"/>
          <w:szCs w:val="18"/>
          <w:color w:val="auto"/>
        </w:rPr>
        <w:t>Cash flows used in financing activities for the year ended December 31, 2021 were $3.1 billion. The significant financing activities included share repurchases of $1.6 billion, debt repayments of $1.0 billion and dividend payments of $374 million.</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debt, total equity, and the capitalization ratio at December 31, 2022 and December 31, 2021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66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169"/>
        </w:trPr>
        <w:tc>
          <w:tcPr>
            <w:tcW w:w="7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4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020" w:type="dxa"/>
            <w:vAlign w:val="bottom"/>
            <w:shd w:val="clear" w:color="auto" w:fill="CFF0FC"/>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4,471</w:t>
            </w:r>
          </w:p>
        </w:tc>
        <w:tc>
          <w:tcPr>
            <w:tcW w:w="20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3,974</w:t>
            </w:r>
          </w:p>
        </w:tc>
        <w:tc>
          <w:tcPr>
            <w:tcW w:w="60" w:type="dxa"/>
            <w:vAlign w:val="bottom"/>
          </w:tcPr>
          <w:p>
            <w:pPr>
              <w:spacing w:after="0"/>
              <w:rPr>
                <w:sz w:val="21"/>
                <w:szCs w:val="21"/>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debt</w:t>
            </w:r>
          </w:p>
        </w:tc>
        <w:tc>
          <w:tcPr>
            <w:tcW w:w="10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613</w:t>
            </w:r>
          </w:p>
        </w:tc>
        <w:tc>
          <w:tcPr>
            <w:tcW w:w="60" w:type="dxa"/>
            <w:vAlign w:val="bottom"/>
          </w:tcPr>
          <w:p>
            <w:pPr>
              <w:spacing w:after="0"/>
              <w:rPr>
                <w:sz w:val="20"/>
                <w:szCs w:val="20"/>
                <w:color w:val="auto"/>
              </w:rPr>
            </w:pPr>
          </w:p>
        </w:tc>
      </w:tr>
      <w:tr>
        <w:trPr>
          <w:trHeight w:val="236"/>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020" w:type="dxa"/>
            <w:vAlign w:val="bottom"/>
            <w:tcBorders>
              <w:bottom w:val="single" w:sz="8" w:color="auto"/>
            </w:tcBorders>
            <w:shd w:val="clear" w:color="auto" w:fill="CFF0FC"/>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4,721</w:t>
            </w:r>
          </w:p>
        </w:tc>
        <w:tc>
          <w:tcPr>
            <w:tcW w:w="20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4,587</w:t>
            </w:r>
          </w:p>
        </w:tc>
        <w:tc>
          <w:tcPr>
            <w:tcW w:w="60" w:type="dxa"/>
            <w:vAlign w:val="bottom"/>
          </w:tcPr>
          <w:p>
            <w:pPr>
              <w:spacing w:after="0"/>
              <w:rPr>
                <w:sz w:val="20"/>
                <w:szCs w:val="20"/>
                <w:color w:val="auto"/>
              </w:rPr>
            </w:pPr>
          </w:p>
        </w:tc>
      </w:tr>
      <w:tr>
        <w:trPr>
          <w:trHeight w:val="240"/>
        </w:trPr>
        <w:tc>
          <w:tcPr>
            <w:tcW w:w="7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WTW shareholders’ equity</w:t>
            </w:r>
          </w:p>
        </w:tc>
        <w:tc>
          <w:tcPr>
            <w:tcW w:w="1020" w:type="dxa"/>
            <w:vAlign w:val="bottom"/>
            <w:tcBorders>
              <w:bottom w:val="single" w:sz="8" w:color="auto"/>
            </w:tcBorders>
            <w:shd w:val="clear" w:color="auto" w:fill="CFF0FC"/>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10,016</w:t>
            </w:r>
          </w:p>
        </w:tc>
        <w:tc>
          <w:tcPr>
            <w:tcW w:w="20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13,260</w:t>
            </w:r>
          </w:p>
        </w:tc>
        <w:tc>
          <w:tcPr>
            <w:tcW w:w="60" w:type="dxa"/>
            <w:vAlign w:val="bottom"/>
          </w:tcPr>
          <w:p>
            <w:pPr>
              <w:spacing w:after="0"/>
              <w:rPr>
                <w:sz w:val="20"/>
                <w:szCs w:val="20"/>
                <w:color w:val="auto"/>
              </w:rPr>
            </w:pPr>
          </w:p>
        </w:tc>
      </w:tr>
      <w:tr>
        <w:trPr>
          <w:trHeight w:val="477"/>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Capitalization ratio</w:t>
            </w:r>
          </w:p>
        </w:tc>
        <w:tc>
          <w:tcPr>
            <w:tcW w:w="102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32.0 %</w:t>
            </w:r>
          </w:p>
        </w:tc>
        <w:tc>
          <w:tcPr>
            <w:tcW w:w="44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25.7 %</w:t>
            </w:r>
          </w:p>
        </w:tc>
      </w:tr>
      <w:tr>
        <w:trPr>
          <w:trHeight w:val="20"/>
        </w:trPr>
        <w:tc>
          <w:tcPr>
            <w:tcW w:w="76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5947410</wp:posOffset>
            </wp:positionH>
            <wp:positionV relativeFrom="paragraph">
              <wp:posOffset>-658495</wp:posOffset>
            </wp:positionV>
            <wp:extent cx="120015" cy="1625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0015"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3422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342265"/>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capitalization ratio increased from December 31, 2021 primarily due to $3.5 billion of share repurchases during the year ended December 31, 2022.</w:t>
      </w:r>
    </w:p>
    <w:p>
      <w:pPr>
        <w:spacing w:after="0" w:line="171" w:lineRule="exact"/>
        <w:rPr>
          <w:sz w:val="20"/>
          <w:szCs w:val="20"/>
          <w:color w:val="auto"/>
        </w:rPr>
      </w:pPr>
    </w:p>
    <w:p>
      <w:pPr>
        <w:jc w:val="both"/>
        <w:ind w:right="380"/>
        <w:spacing w:after="0" w:line="265" w:lineRule="auto"/>
        <w:rPr>
          <w:sz w:val="20"/>
          <w:szCs w:val="20"/>
          <w:color w:val="auto"/>
        </w:rPr>
      </w:pPr>
      <w:r>
        <w:rPr>
          <w:rFonts w:ascii="Times New Roman" w:cs="Times New Roman" w:eastAsia="Times New Roman" w:hAnsi="Times New Roman"/>
          <w:sz w:val="18"/>
          <w:szCs w:val="18"/>
          <w:color w:val="auto"/>
        </w:rPr>
        <w:t>At December 31, 2022, our mandatory debt repayments over the next twelve months include $250 million outstanding on our 4.625% senior notes due 2023. For more information regarding our current and long-term debt, please see ‘Supplemental Guarantor Financial Information’ elsewhere within this Item 7 Management's Discussion and Analysis of Financial Condition and Results of Operations.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2022 and 2021, we were in compliance with all financial covenants.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Fiduciary Funds</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As an intermediary, we hold funds, generally in a fiduciary capacity, for the account of third parties, typically as the result of premiums received from clients that are in transit to insurers and claims due to clients that are in transit from insurers. We also hold funds for clients of our benefits account businesses. These fiduciary funds are included in fiduciary assets on our consolidated balance sheets. We present the equal and corresponding fiduciary liabilities related to these fiduciary funds representing amounts or claims due to our clients or premiums due on their behalf to insurers on our consolidated balance sheets.</w:t>
      </w:r>
    </w:p>
    <w:p>
      <w:pPr>
        <w:spacing w:after="0" w:line="128"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Fiduciary funds are generally required to be kept in regulated bank accounts subject to guidelines which emphasize capital preservation and liquidity; such funds are not available to service the Company’s debt or for other corporate purposes. Notwithstanding the legal relationships with clients and insurers, the Company is entitled to retain investment income earned on certain of these fiduciary funds in accordance with industry custom and practice and, in some cases, as supported by agreements with insureds.</w:t>
      </w:r>
    </w:p>
    <w:p>
      <w:pPr>
        <w:spacing w:after="0" w:line="128" w:lineRule="exact"/>
        <w:rPr>
          <w:sz w:val="20"/>
          <w:szCs w:val="20"/>
          <w:color w:val="auto"/>
        </w:rPr>
      </w:pPr>
    </w:p>
    <w:p>
      <w:pPr>
        <w:ind w:right="1000"/>
        <w:spacing w:after="0" w:line="281" w:lineRule="auto"/>
        <w:rPr>
          <w:sz w:val="20"/>
          <w:szCs w:val="20"/>
          <w:color w:val="auto"/>
        </w:rPr>
      </w:pPr>
      <w:r>
        <w:rPr>
          <w:rFonts w:ascii="Times New Roman" w:cs="Times New Roman" w:eastAsia="Times New Roman" w:hAnsi="Times New Roman"/>
          <w:sz w:val="18"/>
          <w:szCs w:val="18"/>
          <w:color w:val="auto"/>
        </w:rPr>
        <w:t>At December 31, 2022 and 2021, we had fiduciary funds of $3.6 billion and $3.4 billion, respectively, of which $945 million and $719 million, respectively, are attributable to our Willis Re business.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75"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The Company is authorized to repurchase shares, by way of redemption or otherwise, and will consider whether to do so from time to time, based on many factors, including market conditions. There are no expiration dates for our repurchase plans or programs.</w:t>
      </w:r>
    </w:p>
    <w:p>
      <w:pPr>
        <w:spacing w:after="0" w:line="10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On July 26, 2021, the board of directors approved a $1.0 billion increase to the existing share repurchase program, which was previously at $500 million. Additionally, on September 16, 2021, the board of directors approved a $4.0 billion increase to the existing share repurchase program, and on May 25, 2022, approved a $1.0 billion increase to the existing share repurchase program. These increases brought the total approved authorization to $6.5 billion. See Part II, Item 5 Market for Registrant’s Common Equity, Related Stockholder Matters and Issuer Purchases of Equity Securities in this Annual Report on Form 10-K for further information regarding the Company’s share repurchase program.</w:t>
      </w:r>
    </w:p>
    <w:p>
      <w:pPr>
        <w:spacing w:after="0" w:line="128"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At December 31, 2022, approximately $1.3 billion remained on the current repurchase authority. The maximum number of shares that could be repurchased based on the closing price of our ordinary shares on December 31, 2022 of $244.58 was 5,489,619.</w:t>
      </w:r>
    </w:p>
    <w:p>
      <w:pPr>
        <w:spacing w:after="0" w:line="16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22" w:right="2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The following table presents specified information about the Company’s repurchases of ordinary shares for the year ended December 31, 2022:</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3"/>
                <w:szCs w:val="13"/>
                <w:color w:val="auto"/>
              </w:rPr>
            </w:pPr>
          </w:p>
        </w:tc>
        <w:tc>
          <w:tcPr>
            <w:tcW w:w="2300" w:type="dxa"/>
            <w:vAlign w:val="bottom"/>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7"/>
        </w:trPr>
        <w:tc>
          <w:tcPr>
            <w:tcW w:w="8940" w:type="dxa"/>
            <w:vAlign w:val="bottom"/>
          </w:tcPr>
          <w:p>
            <w:pPr>
              <w:spacing w:after="0"/>
              <w:rPr>
                <w:sz w:val="16"/>
                <w:szCs w:val="16"/>
                <w:color w:val="auto"/>
              </w:rPr>
            </w:pPr>
          </w:p>
        </w:tc>
        <w:tc>
          <w:tcPr>
            <w:tcW w:w="23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6"/>
        </w:trPr>
        <w:tc>
          <w:tcPr>
            <w:tcW w:w="8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repurchased</w:t>
            </w:r>
          </w:p>
        </w:tc>
        <w:tc>
          <w:tcPr>
            <w:tcW w:w="2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15,729,085</w:t>
            </w:r>
          </w:p>
        </w:tc>
      </w:tr>
      <w:tr>
        <w:trPr>
          <w:trHeight w:val="238"/>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per share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$224.42</w:t>
            </w:r>
          </w:p>
        </w:tc>
      </w:tr>
      <w:tr>
        <w:trPr>
          <w:trHeight w:val="247"/>
        </w:trPr>
        <w:tc>
          <w:tcPr>
            <w:tcW w:w="8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Aggregate repurchase cost (excluding broker costs)</w:t>
            </w:r>
          </w:p>
        </w:tc>
        <w:tc>
          <w:tcPr>
            <w:tcW w:w="2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 billion</w:t>
            </w:r>
          </w:p>
        </w:tc>
      </w:tr>
    </w:tbl>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jc w:val="both"/>
        <w:ind w:right="260"/>
        <w:spacing w:after="0" w:line="265" w:lineRule="auto"/>
        <w:rPr>
          <w:sz w:val="20"/>
          <w:szCs w:val="20"/>
          <w:color w:val="auto"/>
        </w:rPr>
      </w:pPr>
      <w:r>
        <w:rPr>
          <w:rFonts w:ascii="Times New Roman" w:cs="Times New Roman" w:eastAsia="Times New Roman" w:hAnsi="Times New Roman"/>
          <w:sz w:val="18"/>
          <w:szCs w:val="18"/>
          <w:color w:val="auto"/>
        </w:rPr>
        <w:t>Total cash dividends of $369 million were paid during the year ended December 31, 2022. In February 2023, the board of directors approved a quarterly cash dividend of $0.84 per share ($3.36 per share annualized rate), which will be paid on or around April 17, 2023 to shareholders of record as of March 31, 2023.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Commitments</w:t>
      </w:r>
    </w:p>
    <w:p>
      <w:pPr>
        <w:spacing w:after="0" w:line="175"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The Company’s capital expenditures for fixed assets and software for internal use were $138 million for the year ended December 31, 2022. Capital expenditures for fixed assets and software for internal use, which include expenditures under our Transformation program, are expected to be in the range of $225 million to $250 million for the year ended December 31, 2023. We expect cash from operations to adequately provide for these cash needs.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Guarantor Financial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WTW has issued the following debt securities (the ‘notes’):</w:t>
      </w:r>
    </w:p>
    <w:p>
      <w:pPr>
        <w:spacing w:after="0" w:line="117" w:lineRule="exact"/>
        <w:rPr>
          <w:sz w:val="20"/>
          <w:szCs w:val="20"/>
          <w:color w:val="auto"/>
        </w:rPr>
      </w:pPr>
    </w:p>
    <w:p>
      <w:pPr>
        <w:jc w:val="both"/>
        <w:ind w:left="760" w:right="100" w:hanging="378"/>
        <w:spacing w:after="0" w:line="265"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Willis North America Inc. (‘Willis North America’) has approximately $3.7 billion senior notes outstanding, of which $650 million were issued on May 16, 2017, $1.0 billion were issued on September 10, 2018, $1.0 billion were issued on September 10, 2019, $275 million were issued on May 29, 2020, and $750 million were issued on May 19, 2022; and</w:t>
      </w:r>
    </w:p>
    <w:p>
      <w:pPr>
        <w:spacing w:after="0" w:line="69" w:lineRule="exact"/>
        <w:rPr>
          <w:rFonts w:ascii="Times New Roman" w:cs="Times New Roman" w:eastAsia="Times New Roman" w:hAnsi="Times New Roman"/>
          <w:sz w:val="18"/>
          <w:szCs w:val="18"/>
          <w:color w:val="auto"/>
        </w:rPr>
      </w:pPr>
    </w:p>
    <w:p>
      <w:pPr>
        <w:ind w:left="760" w:right="60" w:hanging="378"/>
        <w:spacing w:after="0" w:line="312" w:lineRule="auto"/>
        <w:tabs>
          <w:tab w:leader="none" w:pos="7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Trinity Acquisition plc has approximately $1.1 billion senior notes outstanding, of which $525 million were issued on August 15, 2013 and $550 million were issued on March 22, 2016, and a $1.5 billion revolving credit facility, on which no balance was outstanding at December 31, 2022.</w:t>
      </w:r>
    </w:p>
    <w:p>
      <w:pPr>
        <w:spacing w:after="0" w:line="85" w:lineRule="exact"/>
        <w:rPr>
          <w:sz w:val="20"/>
          <w:szCs w:val="20"/>
          <w:color w:val="auto"/>
        </w:rPr>
      </w:pPr>
    </w:p>
    <w:p>
      <w:pPr>
        <w:jc w:val="both"/>
        <w:ind w:right="460"/>
        <w:spacing w:after="0" w:line="265" w:lineRule="auto"/>
        <w:rPr>
          <w:sz w:val="20"/>
          <w:szCs w:val="20"/>
          <w:color w:val="auto"/>
        </w:rPr>
      </w:pPr>
      <w:r>
        <w:rPr>
          <w:rFonts w:ascii="Times New Roman" w:cs="Times New Roman" w:eastAsia="Times New Roman" w:hAnsi="Times New Roman"/>
          <w:sz w:val="18"/>
          <w:szCs w:val="18"/>
          <w:color w:val="auto"/>
        </w:rPr>
        <w:t>The following table presents a summary of the entities that issue each note and those wholly-owned subsidiaries of the Company that guarantee each respective note on a joint and several basis as of December 31, 2022. These subsidiaries are all consolidated by Willis Towers Watson plc (the ‘parent company’) and together with the parent company comprise the ‘Obligor group’.</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28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Trinity Acquisition plc</w:t>
            </w:r>
          </w:p>
        </w:tc>
        <w:tc>
          <w:tcPr>
            <w:tcW w:w="26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Willis North America Inc.</w:t>
            </w:r>
          </w:p>
        </w:tc>
        <w:tc>
          <w:tcPr>
            <w:tcW w:w="0" w:type="dxa"/>
            <w:vAlign w:val="bottom"/>
          </w:tcPr>
          <w:p>
            <w:pPr>
              <w:spacing w:after="0"/>
              <w:rPr>
                <w:sz w:val="1"/>
                <w:szCs w:val="1"/>
                <w:color w:val="auto"/>
              </w:rPr>
            </w:pPr>
          </w:p>
        </w:tc>
      </w:tr>
      <w:tr>
        <w:trPr>
          <w:trHeight w:val="187"/>
        </w:trPr>
        <w:tc>
          <w:tcPr>
            <w:tcW w:w="734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6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0" w:type="dxa"/>
            <w:vAlign w:val="bottom"/>
          </w:tcPr>
          <w:p>
            <w:pPr>
              <w:spacing w:after="0"/>
              <w:rPr>
                <w:sz w:val="1"/>
                <w:szCs w:val="1"/>
                <w:color w:val="auto"/>
              </w:rPr>
            </w:pPr>
          </w:p>
        </w:tc>
      </w:tr>
      <w:tr>
        <w:trPr>
          <w:trHeight w:val="236"/>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Willis Towers Watson plc</w:t>
            </w:r>
          </w:p>
        </w:tc>
        <w:tc>
          <w:tcPr>
            <w:tcW w:w="280" w:type="dxa"/>
            <w:vAlign w:val="bottom"/>
            <w:shd w:val="clear" w:color="auto" w:fill="CFF0FC"/>
          </w:tcPr>
          <w:p>
            <w:pPr>
              <w:spacing w:after="0"/>
              <w:rPr>
                <w:sz w:val="20"/>
                <w:szCs w:val="20"/>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60" w:type="dxa"/>
            <w:vAlign w:val="bottom"/>
            <w:shd w:val="clear" w:color="auto" w:fill="CFF0FC"/>
          </w:tcPr>
          <w:p>
            <w:pPr>
              <w:spacing w:after="0"/>
              <w:rPr>
                <w:sz w:val="20"/>
                <w:szCs w:val="20"/>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0" w:type="dxa"/>
            <w:vAlign w:val="bottom"/>
          </w:tcPr>
          <w:p>
            <w:pPr>
              <w:spacing w:after="0"/>
              <w:rPr>
                <w:sz w:val="1"/>
                <w:szCs w:val="1"/>
                <w:color w:val="auto"/>
              </w:rPr>
            </w:pPr>
          </w:p>
        </w:tc>
      </w:tr>
      <w:tr>
        <w:trPr>
          <w:trHeight w:val="238"/>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Trinity Acquisition plc</w:t>
            </w:r>
          </w:p>
        </w:tc>
        <w:tc>
          <w:tcPr>
            <w:tcW w:w="28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Issuer</w:t>
            </w:r>
          </w:p>
        </w:tc>
        <w:tc>
          <w:tcPr>
            <w:tcW w:w="2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0" w:type="dxa"/>
            <w:vAlign w:val="bottom"/>
          </w:tcPr>
          <w:p>
            <w:pPr>
              <w:spacing w:after="0"/>
              <w:rPr>
                <w:sz w:val="1"/>
                <w:szCs w:val="1"/>
                <w:color w:val="auto"/>
              </w:rPr>
            </w:pPr>
          </w:p>
        </w:tc>
      </w:tr>
      <w:tr>
        <w:trPr>
          <w:trHeight w:val="247"/>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Willis North America Inc.</w:t>
            </w:r>
          </w:p>
        </w:tc>
        <w:tc>
          <w:tcPr>
            <w:tcW w:w="28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6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Issuer</w:t>
            </w:r>
          </w:p>
        </w:tc>
        <w:tc>
          <w:tcPr>
            <w:tcW w:w="0" w:type="dxa"/>
            <w:vAlign w:val="bottom"/>
          </w:tcPr>
          <w:p>
            <w:pPr>
              <w:spacing w:after="0"/>
              <w:rPr>
                <w:sz w:val="1"/>
                <w:szCs w:val="1"/>
                <w:color w:val="auto"/>
              </w:rPr>
            </w:pPr>
          </w:p>
        </w:tc>
      </w:tr>
      <w:tr>
        <w:trPr>
          <w:trHeight w:val="238"/>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Willis Netherlands Holdings B.V.</w:t>
            </w:r>
          </w:p>
        </w:tc>
        <w:tc>
          <w:tcPr>
            <w:tcW w:w="28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0" w:type="dxa"/>
            <w:vAlign w:val="bottom"/>
          </w:tcPr>
          <w:p>
            <w:pPr>
              <w:spacing w:after="0"/>
              <w:rPr>
                <w:sz w:val="1"/>
                <w:szCs w:val="1"/>
                <w:color w:val="auto"/>
              </w:rPr>
            </w:pPr>
          </w:p>
        </w:tc>
      </w:tr>
      <w:tr>
        <w:trPr>
          <w:trHeight w:val="247"/>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Willis Investment UK Holdings Limited</w:t>
            </w:r>
          </w:p>
        </w:tc>
        <w:tc>
          <w:tcPr>
            <w:tcW w:w="28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6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0" w:type="dxa"/>
            <w:vAlign w:val="bottom"/>
          </w:tcPr>
          <w:p>
            <w:pPr>
              <w:spacing w:after="0"/>
              <w:rPr>
                <w:sz w:val="1"/>
                <w:szCs w:val="1"/>
                <w:color w:val="auto"/>
              </w:rPr>
            </w:pPr>
          </w:p>
        </w:tc>
      </w:tr>
      <w:tr>
        <w:trPr>
          <w:trHeight w:val="238"/>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 I Limited</w:t>
            </w:r>
          </w:p>
        </w:tc>
        <w:tc>
          <w:tcPr>
            <w:tcW w:w="28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0" w:type="dxa"/>
            <w:vAlign w:val="bottom"/>
          </w:tcPr>
          <w:p>
            <w:pPr>
              <w:spacing w:after="0"/>
              <w:rPr>
                <w:sz w:val="1"/>
                <w:szCs w:val="1"/>
                <w:color w:val="auto"/>
              </w:rPr>
            </w:pPr>
          </w:p>
        </w:tc>
      </w:tr>
      <w:tr>
        <w:trPr>
          <w:trHeight w:val="247"/>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Willis Group Limited</w:t>
            </w:r>
          </w:p>
        </w:tc>
        <w:tc>
          <w:tcPr>
            <w:tcW w:w="28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6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0" w:type="dxa"/>
            <w:vAlign w:val="bottom"/>
          </w:tcPr>
          <w:p>
            <w:pPr>
              <w:spacing w:after="0"/>
              <w:rPr>
                <w:sz w:val="1"/>
                <w:szCs w:val="1"/>
                <w:color w:val="auto"/>
              </w:rPr>
            </w:pPr>
          </w:p>
        </w:tc>
      </w:tr>
      <w:tr>
        <w:trPr>
          <w:trHeight w:val="238"/>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Willis Towers Watson Sub Holdings Unlimited Company</w:t>
            </w:r>
          </w:p>
        </w:tc>
        <w:tc>
          <w:tcPr>
            <w:tcW w:w="28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0" w:type="dxa"/>
            <w:vAlign w:val="bottom"/>
          </w:tcPr>
          <w:p>
            <w:pPr>
              <w:spacing w:after="0"/>
              <w:rPr>
                <w:sz w:val="1"/>
                <w:szCs w:val="1"/>
                <w:color w:val="auto"/>
              </w:rPr>
            </w:pPr>
          </w:p>
        </w:tc>
      </w:tr>
      <w:tr>
        <w:trPr>
          <w:trHeight w:val="247"/>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Willis Towers Watson UK Holdings Limited</w:t>
            </w:r>
          </w:p>
        </w:tc>
        <w:tc>
          <w:tcPr>
            <w:tcW w:w="28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6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0" w:type="dxa"/>
            <w:vAlign w:val="bottom"/>
          </w:tcPr>
          <w:p>
            <w:pPr>
              <w:spacing w:after="0"/>
              <w:rPr>
                <w:sz w:val="1"/>
                <w:szCs w:val="1"/>
                <w:color w:val="auto"/>
              </w:rPr>
            </w:pPr>
          </w:p>
        </w:tc>
      </w:tr>
      <w:tr>
        <w:trPr>
          <w:trHeight w:val="378"/>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The notes issued by Willis North America and Trinity Acquisition plc:</w:t>
            </w: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equally with all of the issuer’s existing and future unsubordinated and unsecured debt;</w:t>
      </w:r>
    </w:p>
    <w:p>
      <w:pPr>
        <w:spacing w:after="0" w:line="170" w:lineRule="exact"/>
        <w:rPr>
          <w:rFonts w:ascii="Times New Roman" w:cs="Times New Roman" w:eastAsia="Times New Roman" w:hAnsi="Times New Roman"/>
          <w:sz w:val="18"/>
          <w:szCs w:val="18"/>
          <w:color w:val="auto"/>
        </w:rPr>
      </w:pPr>
    </w:p>
    <w:p>
      <w:pPr>
        <w:ind w:left="760" w:right="160" w:hanging="378"/>
        <w:spacing w:after="0" w:line="281"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equally with the issuer’s guarantee of all of the existing senior debt of the Company and the other guarantors, including any debt under the Revolving Credit Facility;</w:t>
      </w:r>
    </w:p>
    <w:p>
      <w:pPr>
        <w:spacing w:after="0" w:line="10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senior in right of payment to all of the issuer’s future subordinated debt; and</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effectively subordinated to all of the issuer’s secured debt to the extent of the value of the assets securing such debt.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subsidiaries of the parent company are non-guarantor subsidiaries (‘the non-guarantor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57" w:name="page58"/>
    <w:bookmarkEnd w:id="57"/>
    <w:p>
      <w:pPr>
        <w:jc w:val="both"/>
        <w:ind w:right="20"/>
        <w:spacing w:after="0" w:line="269" w:lineRule="auto"/>
        <w:rPr>
          <w:sz w:val="20"/>
          <w:szCs w:val="20"/>
          <w:color w:val="auto"/>
        </w:rPr>
      </w:pPr>
      <w:r>
        <w:rPr>
          <w:rFonts w:ascii="Times New Roman" w:cs="Times New Roman" w:eastAsia="Times New Roman" w:hAnsi="Times New Roman"/>
          <w:sz w:val="17"/>
          <w:szCs w:val="17"/>
          <w:color w:val="auto"/>
        </w:rPr>
        <w:t>Each member of the Obligor group has only a stockholder’s claim on the assets of the non-guarantor subsidiaries. This stockholder’s claim is junior to the claims that creditors have against those non-guarantor subsidiaries. Holders of the notes will only be creditors of the Obligor group and not creditors of the non-guarantor subsidiaries. As a result, all of the existing and future liabilities of the non-guarantor subsidiaries, including any claims of trade creditors and preferred stockholders, will be structurally senior to the notes. As of and for the periods ended December 31, 2022 and 2021, the non-guarantor subsidiaries represented substantially all of the total assets and accounted for substantially all of the total revenue of the Company prior to consolidating adjustments.</w:t>
      </w:r>
    </w:p>
    <w:p>
      <w:pPr>
        <w:spacing w:after="0" w:line="2"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The non-guarantor subsidiaries have other liabilities, including contingent liabilities that may be significant. Each indenture does not contain any limitations on the amount of additional debt that the Obligor group and the non-guarantor subsidiaries may incur. The amounts of this debt could be substantial, and this debt may be debt of the non-guarantor subsidiaries, in which case this debt would be effectively senior in right of payment to the notes.</w:t>
      </w:r>
    </w:p>
    <w:p>
      <w:pPr>
        <w:spacing w:after="0" w:line="1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notes are obligations exclusively of the Obligor group. Substantially all of the Obligor group’s operations are conducted through its non-guarantor subsidiaries. Therefore, the Obligor group’s ability to service its debt, including the notes, is dependent upon the net cash flows of its non-guarantor subsidiaries and their ability to distribute those net cash flows as dividends, loans or other payments to the Obligor group. Certain laws restrict the ability of these non-guarantor subsidiaries to pay dividends and make loans and advances to the Obligor group. In addition, such non-guarantor subsidiaries may enter into contractual arrangements that limit their ability to pay dividends and make loans and advances to the Obligor group.</w:t>
      </w:r>
    </w:p>
    <w:p>
      <w:pPr>
        <w:spacing w:after="0" w:line="12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Intercompany balances and transactions between members of the Obligor group have been eliminated. All intercompany balances and transactions between the Obligor group and the non-guarantor subsidiaries have been presented in the disclosures below on a net presentation basis, rather than a gross basis, as this better reflects the nature of the intercompany positions and presents the funding or funded position that is to be received or owed. The intercompany balances and transactions between the Obligor group and non-guarantor subsidiaries, presented below, relate to a number of items including loan funding for acquisitions and other purposes, transfers of surplus cash between subsidiary companies, funding provided for working capital purposes, settlement of expense accounts, transactions related to share-based payment arrangements and share issuances, intercompany royalty arrangements, intercompany dividends and intercompany interest. At December 31, 2022 and 2021, the intercompany balances of the Obligor group with non-guarantor subsidiaries were net receivables of $600 million and $700 million, respectively, and net payables of $10.2 billion and $8.1 billion,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balances or transactions of non-guarantor subsidiaries are presented in the disclosures other than the intercompany items noted above.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below is certain summarized financial information for the Obligor group.</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87"/>
        </w:trPr>
        <w:tc>
          <w:tcPr>
            <w:tcW w:w="7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69"/>
        </w:trPr>
        <w:tc>
          <w:tcPr>
            <w:tcW w:w="7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0" w:type="dxa"/>
            <w:vAlign w:val="bottom"/>
            <w:gridSpan w:val="5"/>
          </w:tcPr>
          <w:p>
            <w:pPr>
              <w:jc w:val="right"/>
              <w:ind w:right="1376"/>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243</w:t>
            </w: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non-current assets</w:t>
            </w:r>
          </w:p>
        </w:tc>
        <w:tc>
          <w:tcPr>
            <w:tcW w:w="16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862</w:t>
            </w: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6,916</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7,747</w:t>
            </w:r>
          </w:p>
        </w:tc>
      </w:tr>
      <w:tr>
        <w:trPr>
          <w:trHeight w:val="23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6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8,212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5,298</w:t>
            </w:r>
          </w:p>
        </w:tc>
      </w:tr>
      <w:tr>
        <w:trPr>
          <w:trHeight w:val="523"/>
        </w:trPr>
        <w:tc>
          <w:tcPr>
            <w:tcW w:w="7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jc w:val="center"/>
              <w:ind w:right="516"/>
              <w:spacing w:after="0"/>
              <w:rPr>
                <w:sz w:val="20"/>
                <w:szCs w:val="20"/>
                <w:color w:val="auto"/>
              </w:rPr>
            </w:pPr>
            <w:r>
              <w:rPr>
                <w:rFonts w:ascii="Times New Roman" w:cs="Times New Roman" w:eastAsia="Times New Roman" w:hAnsi="Times New Roman"/>
                <w:sz w:val="14"/>
                <w:szCs w:val="14"/>
                <w:b w:val="1"/>
                <w:bCs w:val="1"/>
                <w:color w:val="auto"/>
                <w:w w:val="98"/>
              </w:rPr>
              <w:t>Year ended</w:t>
            </w:r>
          </w:p>
        </w:tc>
      </w:tr>
      <w:tr>
        <w:trPr>
          <w:trHeight w:val="187"/>
        </w:trPr>
        <w:tc>
          <w:tcPr>
            <w:tcW w:w="7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center"/>
              <w:ind w:right="356"/>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69"/>
        </w:trPr>
        <w:tc>
          <w:tcPr>
            <w:tcW w:w="7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center"/>
              <w:ind w:right="496"/>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2,139</w:t>
            </w: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1,650</w:t>
            </w:r>
          </w:p>
        </w:tc>
      </w:tr>
      <w:tr>
        <w:trPr>
          <w:trHeight w:val="247"/>
        </w:trPr>
        <w:tc>
          <w:tcPr>
            <w:tcW w:w="7680" w:type="dxa"/>
            <w:vAlign w:val="bottom"/>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Income from operations before income taxes </w:t>
            </w:r>
            <w:r>
              <w:rPr>
                <w:rFonts w:ascii="Times New Roman" w:cs="Times New Roman" w:eastAsia="Times New Roman" w:hAnsi="Times New Roman"/>
                <w:sz w:val="24"/>
                <w:szCs w:val="24"/>
                <w:color w:val="auto"/>
                <w:vertAlign w:val="superscript"/>
              </w:rPr>
              <w:t>(i)</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1,102</w:t>
            </w:r>
          </w:p>
        </w:tc>
      </w:tr>
      <w:tr>
        <w:trPr>
          <w:trHeight w:val="23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1,287</w:t>
            </w: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Willis Towers Watson</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1,287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Includes intercompany expense, net of the Obligor group from non-guarantor subsidiaries of $132 million for the year ended December 31, 2022.</w:t>
      </w:r>
    </w:p>
    <w:p>
      <w:pPr>
        <w:spacing w:after="0" w:line="2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In order to assist readers of our consolidated financial statements in understanding the core operating results that WTW’s management uses to evaluate the business and for financial planning purposes, we present the following non-GAAP measures and their most directly comparable U.S. GAAP measure: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Most Directly Comparable U.S. GAAP Measure</w:t>
            </w:r>
          </w:p>
        </w:tc>
        <w:tc>
          <w:tcPr>
            <w:tcW w:w="634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Non-GAAP Measure</w:t>
            </w:r>
          </w:p>
        </w:tc>
      </w:tr>
      <w:tr>
        <w:trPr>
          <w:trHeight w:val="24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 reported change</w:t>
            </w:r>
          </w:p>
        </w:tc>
        <w:tc>
          <w:tcPr>
            <w:tcW w:w="634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Constant currency change</w:t>
            </w:r>
          </w:p>
        </w:tc>
      </w:tr>
      <w:tr>
        <w:trPr>
          <w:trHeight w:val="238"/>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reported change</w:t>
            </w:r>
          </w:p>
        </w:tc>
        <w:tc>
          <w:tcPr>
            <w:tcW w:w="6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Organic change</w:t>
            </w:r>
          </w:p>
        </w:tc>
      </w:tr>
      <w:tr>
        <w:trPr>
          <w:trHeight w:val="247"/>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operations/margin</w:t>
            </w:r>
          </w:p>
        </w:tc>
        <w:tc>
          <w:tcPr>
            <w:tcW w:w="634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Adjusted operating income/margin</w:t>
            </w:r>
          </w:p>
        </w:tc>
      </w:tr>
      <w:tr>
        <w:trPr>
          <w:trHeight w:val="238"/>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income/margin</w:t>
            </w:r>
          </w:p>
        </w:tc>
        <w:tc>
          <w:tcPr>
            <w:tcW w:w="6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Adjusted EBITDA/margin</w:t>
            </w:r>
          </w:p>
        </w:tc>
      </w:tr>
      <w:tr>
        <w:trPr>
          <w:trHeight w:val="247"/>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WTW</w:t>
            </w:r>
          </w:p>
        </w:tc>
        <w:tc>
          <w:tcPr>
            <w:tcW w:w="634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Adjusted net income</w:t>
            </w:r>
          </w:p>
        </w:tc>
      </w:tr>
      <w:tr>
        <w:trPr>
          <w:trHeight w:val="238"/>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6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Adjusted diluted earnings per share</w:t>
            </w:r>
          </w:p>
        </w:tc>
      </w:tr>
      <w:tr>
        <w:trPr>
          <w:trHeight w:val="247"/>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634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Adjusted income before taxes</w:t>
            </w:r>
          </w:p>
        </w:tc>
      </w:tr>
      <w:tr>
        <w:trPr>
          <w:trHeight w:val="238"/>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taxes/U.S. GAAP tax rate</w:t>
            </w:r>
          </w:p>
        </w:tc>
        <w:tc>
          <w:tcPr>
            <w:tcW w:w="6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Adjusted income taxes/tax rate</w:t>
            </w:r>
          </w:p>
        </w:tc>
      </w:tr>
      <w:tr>
        <w:trPr>
          <w:trHeight w:val="247"/>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634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Free cash flow</w:t>
            </w:r>
          </w:p>
        </w:tc>
      </w:tr>
    </w:tbl>
    <w:p>
      <w:pPr>
        <w:spacing w:after="0" w:line="184"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The Company believes that these measures are relevant and provide pertinent information widely used by analysts, investors and other interested parties in our industry to provide a baseline for evaluating and comparing our operating performance, and in the case of free cash flow, our liquidity results.</w:t>
      </w:r>
    </w:p>
    <w:p>
      <w:pPr>
        <w:spacing w:after="0" w:line="109"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Within the measures referred to as ‘adjusted’, we adjust for significant items which will not be settled in cash, or which we believe to be items that are not core to our current or future operations. These items include the following:</w:t>
      </w:r>
    </w:p>
    <w:p>
      <w:pPr>
        <w:spacing w:after="0" w:line="109" w:lineRule="exact"/>
        <w:rPr>
          <w:sz w:val="20"/>
          <w:szCs w:val="20"/>
          <w:color w:val="auto"/>
        </w:rPr>
      </w:pPr>
    </w:p>
    <w:p>
      <w:pPr>
        <w:ind w:left="760" w:right="140" w:hanging="378"/>
        <w:spacing w:after="0" w:line="281"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and loss from discontinued operations, net of tax – Adjustment to remove the after-tax income or loss from discontinued operations and the after-tax gain attributable to the divestiture of our Willis Re business.</w:t>
      </w:r>
    </w:p>
    <w:p>
      <w:pPr>
        <w:spacing w:after="0" w:line="108" w:lineRule="exact"/>
        <w:rPr>
          <w:rFonts w:ascii="Times New Roman" w:cs="Times New Roman" w:eastAsia="Times New Roman" w:hAnsi="Times New Roman"/>
          <w:sz w:val="18"/>
          <w:szCs w:val="18"/>
          <w:color w:val="auto"/>
        </w:rPr>
      </w:pPr>
    </w:p>
    <w:p>
      <w:pPr>
        <w:ind w:left="760" w:right="540" w:hanging="378"/>
        <w:spacing w:after="0" w:line="276" w:lineRule="auto"/>
        <w:tabs>
          <w:tab w:leader="none" w:pos="7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Restructuring costs and transaction and transformation, net – Management believes it is appropriate to adjust for restructuring costs and transaction and transformation, net when they relate to a specific significant program with a defined set of activities and costs that are not expected to continue beyond a defined period of time, or significant acquisition-related transaction expenses. We believe the adjustment is necessary to present how the Company is performing, both now and in the future when the incurrence of these costs will have concluded. Transaction and transformation, net in 2021 includes the income receipt related to the termination of the then-proposed Aon transaction.</w:t>
      </w:r>
    </w:p>
    <w:p>
      <w:pPr>
        <w:spacing w:after="0" w:line="116"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 Adjustment to remove the impairment related to the net assets of our Russian business that are held outside of our Russian entities.</w:t>
      </w:r>
    </w:p>
    <w:p>
      <w:pPr>
        <w:spacing w:after="0" w:line="170" w:lineRule="exact"/>
        <w:rPr>
          <w:rFonts w:ascii="Times New Roman" w:cs="Times New Roman" w:eastAsia="Times New Roman" w:hAnsi="Times New Roman"/>
          <w:sz w:val="18"/>
          <w:szCs w:val="18"/>
          <w:color w:val="auto"/>
        </w:rPr>
      </w:pPr>
    </w:p>
    <w:p>
      <w:pPr>
        <w:ind w:left="760" w:right="340" w:hanging="378"/>
        <w:spacing w:after="0" w:line="281"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and losses on disposals of operations – Adjustment to remove the gains or losses resulting from disposed operations that have not been classified as discontinued operations.</w:t>
      </w:r>
    </w:p>
    <w:p>
      <w:pPr>
        <w:spacing w:after="0" w:line="108" w:lineRule="exact"/>
        <w:rPr>
          <w:rFonts w:ascii="Times New Roman" w:cs="Times New Roman" w:eastAsia="Times New Roman" w:hAnsi="Times New Roman"/>
          <w:sz w:val="18"/>
          <w:szCs w:val="18"/>
          <w:color w:val="auto"/>
        </w:rPr>
      </w:pPr>
    </w:p>
    <w:p>
      <w:pPr>
        <w:ind w:left="760" w:right="220" w:hanging="378"/>
        <w:spacing w:after="0" w:line="281"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settlement and curtailment gains and losses – Adjustment to remove significant pension settlement and curtailment gains and losses to better present how the Company is performing.</w:t>
      </w:r>
    </w:p>
    <w:p>
      <w:pPr>
        <w:spacing w:after="0" w:line="108" w:lineRule="exact"/>
        <w:rPr>
          <w:rFonts w:ascii="Times New Roman" w:cs="Times New Roman" w:eastAsia="Times New Roman" w:hAnsi="Times New Roman"/>
          <w:sz w:val="18"/>
          <w:szCs w:val="18"/>
          <w:color w:val="auto"/>
        </w:rPr>
      </w:pPr>
    </w:p>
    <w:p>
      <w:pPr>
        <w:ind w:left="760" w:right="620" w:hanging="378"/>
        <w:spacing w:after="0" w:line="281"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significant litigation – We will include provisions for litigation matters which we believe are not representative of our core business operations. These amounts are presented net of insurance and other recovery receivables.</w:t>
      </w:r>
    </w:p>
    <w:p>
      <w:pPr>
        <w:spacing w:after="0" w:line="108" w:lineRule="exact"/>
        <w:rPr>
          <w:rFonts w:ascii="Times New Roman" w:cs="Times New Roman" w:eastAsia="Times New Roman" w:hAnsi="Times New Roman"/>
          <w:sz w:val="18"/>
          <w:szCs w:val="18"/>
          <w:color w:val="auto"/>
        </w:rPr>
      </w:pPr>
    </w:p>
    <w:p>
      <w:pPr>
        <w:ind w:left="760" w:right="40" w:hanging="378"/>
        <w:spacing w:after="0" w:line="281"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 of statutory rate changes – Relates to the incremental tax expense or benefit from significant statutory income tax rate changes enacted in material jurisdictions in which we operate.</w:t>
      </w:r>
    </w:p>
    <w:p>
      <w:pPr>
        <w:spacing w:after="0" w:line="108" w:lineRule="exact"/>
        <w:rPr>
          <w:rFonts w:ascii="Times New Roman" w:cs="Times New Roman" w:eastAsia="Times New Roman" w:hAnsi="Times New Roman"/>
          <w:sz w:val="18"/>
          <w:szCs w:val="18"/>
          <w:color w:val="auto"/>
        </w:rPr>
      </w:pPr>
    </w:p>
    <w:p>
      <w:pPr>
        <w:ind w:left="760" w:right="160" w:hanging="378"/>
        <w:spacing w:after="0" w:line="281"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 of the Coronavirus Aid, Relief, and Economic Security (‘CARES’) Act – Relates to the incremental tax expense or benefit, primarily from the BEAT, generated from electing or changing elections of certain income tax provisions available under the CARES Act.</w:t>
      </w:r>
    </w:p>
    <w:p>
      <w:pPr>
        <w:spacing w:after="0" w:line="108" w:lineRule="exact"/>
        <w:rPr>
          <w:rFonts w:ascii="Times New Roman" w:cs="Times New Roman" w:eastAsia="Times New Roman" w:hAnsi="Times New Roman"/>
          <w:sz w:val="18"/>
          <w:szCs w:val="18"/>
          <w:color w:val="auto"/>
        </w:rPr>
      </w:pPr>
    </w:p>
    <w:p>
      <w:pPr>
        <w:ind w:left="760" w:right="260" w:hanging="378"/>
        <w:spacing w:after="0" w:line="281"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 of internal reorganizations – Relates to the U.S. income tax expense resulting from the completion of internal reorganizations of the ownership of certain businesses that reduced the investments held by our U.S.-controlled subsidiaries.</w:t>
      </w:r>
    </w:p>
    <w:p>
      <w:pPr>
        <w:spacing w:after="0" w:line="109"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8"/>
          <w:szCs w:val="18"/>
          <w:color w:val="auto"/>
        </w:rPr>
        <w:t>These non-GAAP measures are not defined in the same manner by all companies and may not be comparable to other similarly titled measures of other companies. Non-GAAP measures should be considered in addition to, and not as a substitute for, the information contained within our consolidated financial statements.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Constant Currency Change and Organic Change</w:t>
      </w:r>
    </w:p>
    <w:p>
      <w:pPr>
        <w:spacing w:after="0" w:line="175"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We evaluate our revenue on an as reported (U.S. GAAP), constant currency and organic basis. We believe presenting constant currency and organic information provides valuable supplemental information regarding our comparable results, consistent with how we evaluate our performance internally.</w:t>
      </w:r>
    </w:p>
    <w:p>
      <w:pPr>
        <w:spacing w:after="0" w:line="83" w:lineRule="exact"/>
        <w:rPr>
          <w:sz w:val="20"/>
          <w:szCs w:val="20"/>
          <w:color w:val="auto"/>
        </w:rPr>
      </w:pPr>
    </w:p>
    <w:p>
      <w:pPr>
        <w:ind w:left="760" w:right="20" w:hanging="378"/>
        <w:spacing w:after="0" w:line="256"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Constant Currency Change - </w:t>
      </w:r>
      <w:r>
        <w:rPr>
          <w:rFonts w:ascii="Times New Roman" w:cs="Times New Roman" w:eastAsia="Times New Roman" w:hAnsi="Times New Roman"/>
          <w:sz w:val="18"/>
          <w:szCs w:val="18"/>
          <w:color w:val="auto"/>
        </w:rPr>
        <w:t>Represents the year-over-year change in revenue excluding the impact of foreign currency fluctuations. To calculate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impact, the prior year local currency results are first translated using the current year monthly average exchange rates. The change is calculated by comparing the prior year revenue, translated at the current year monthly average exchange rates, to the current year as reported revenue, for the same period. We believe constant currency measures provide useful information to investors because they provide transparency to performance by excluding the effects that foreign currency exchange rate fluctuations have on period-over-period comparability given volatility in foreign currency exchange markets.</w:t>
      </w:r>
    </w:p>
    <w:p>
      <w:pPr>
        <w:spacing w:after="0" w:line="131" w:lineRule="exact"/>
        <w:rPr>
          <w:rFonts w:ascii="Times New Roman" w:cs="Times New Roman" w:eastAsia="Times New Roman" w:hAnsi="Times New Roman"/>
          <w:sz w:val="18"/>
          <w:szCs w:val="18"/>
          <w:color w:val="auto"/>
        </w:rPr>
      </w:pPr>
    </w:p>
    <w:p>
      <w:pPr>
        <w:ind w:left="760" w:right="40" w:hanging="378"/>
        <w:spacing w:after="0" w:line="258"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Organic Change - </w:t>
      </w:r>
      <w:r>
        <w:rPr>
          <w:rFonts w:ascii="Times New Roman" w:cs="Times New Roman" w:eastAsia="Times New Roman" w:hAnsi="Times New Roman"/>
          <w:sz w:val="18"/>
          <w:szCs w:val="18"/>
          <w:color w:val="auto"/>
        </w:rPr>
        <w:t>Excludes the impact of fluctuations in foreign currency exchange rates as described above and the period-over-period impact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acquisitions and divestitures on current-year revenue. We believe that excluding transaction-related items from our U.S. GAAP financial measures provides useful supplemental information to our investors, and it is important in illustrating what our core operating results would have been had we not included these transaction-related items, since the nature, size and number of these transaction-related items can vary from period to period.</w:t>
      </w:r>
    </w:p>
    <w:p>
      <w:pPr>
        <w:spacing w:after="0" w:line="130"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The constant currency and organic change results, and a reconciliation from the reported results for consolidated revenue, are included in the ‘Consolidated Revenue (Continuing Operations)’ section within this Form 10-K. These measures are also reported by segment in the ‘Segment Revenue’ section within this Form 10-K.</w:t>
      </w:r>
    </w:p>
    <w:p>
      <w:pPr>
        <w:spacing w:after="0" w:line="123"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A reconciliation of the reported change to the constant currency and organic change for the year ended December 31, 2022 from the year ended December 31, 2021 is as follows. The components of revenue change may not add due to rounding.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4"/>
            <w:vMerge w:val="restart"/>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Pr>
          <w:p>
            <w:pPr>
              <w:spacing w:after="0"/>
              <w:rPr>
                <w:sz w:val="14"/>
                <w:szCs w:val="14"/>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1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5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69"/>
        </w:trPr>
        <w:tc>
          <w:tcPr>
            <w:tcW w:w="25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2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2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2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 in</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76"/>
              </w:rPr>
              <w:t>millions)</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8"/>
                <w:szCs w:val="18"/>
                <w:color w:val="auto"/>
              </w:rPr>
              <w:t>8,866</w:t>
            </w:r>
          </w:p>
        </w:tc>
        <w:tc>
          <w:tcPr>
            <w:tcW w:w="1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8,998</w:t>
            </w:r>
          </w:p>
        </w:tc>
        <w:tc>
          <w:tcPr>
            <w:tcW w:w="1200" w:type="dxa"/>
            <w:vAlign w:val="bottom"/>
            <w:tcBorders>
              <w:bottom w:val="single" w:sz="8" w:color="CFF0FC"/>
            </w:tcBorders>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(1)%</w:t>
            </w:r>
          </w:p>
        </w:tc>
        <w:tc>
          <w:tcPr>
            <w:tcW w:w="12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1180" w:type="dxa"/>
            <w:vAlign w:val="bottom"/>
            <w:tcBorders>
              <w:bottom w:val="single" w:sz="8" w:color="CFF0FC"/>
            </w:tcBorders>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2%</w:t>
            </w:r>
          </w:p>
        </w:tc>
        <w:tc>
          <w:tcPr>
            <w:tcW w:w="1200" w:type="dxa"/>
            <w:vAlign w:val="bottom"/>
            <w:tcBorders>
              <w:bottom w:val="single" w:sz="8" w:color="CFF0FC"/>
            </w:tcBorders>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(1)%</w:t>
            </w:r>
          </w:p>
        </w:tc>
        <w:tc>
          <w:tcPr>
            <w:tcW w:w="1180" w:type="dxa"/>
            <w:vAlign w:val="bottom"/>
            <w:tcBorders>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2436495</wp:posOffset>
            </wp:positionH>
            <wp:positionV relativeFrom="paragraph">
              <wp:posOffset>-24765</wp:posOffset>
            </wp:positionV>
            <wp:extent cx="857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2436495</wp:posOffset>
            </wp:positionH>
            <wp:positionV relativeFrom="paragraph">
              <wp:posOffset>-7620</wp:posOffset>
            </wp:positionV>
            <wp:extent cx="857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3361690</wp:posOffset>
            </wp:positionH>
            <wp:positionV relativeFrom="paragraph">
              <wp:posOffset>-24765</wp:posOffset>
            </wp:positionV>
            <wp:extent cx="857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3361690</wp:posOffset>
            </wp:positionH>
            <wp:positionV relativeFrom="paragraph">
              <wp:posOffset>-7620</wp:posOffset>
            </wp:positionV>
            <wp:extent cx="857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3"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8"/>
          <w:szCs w:val="18"/>
          <w:color w:val="auto"/>
        </w:rPr>
        <w:t>For the year ended December 31, 2022, our as-reported revenue declined by 1%, primarily as a result of unfavorable foreign currency exchange movement. Adjusting for the impacts of foreign currency and acquisitions and disposals in the calculation of our organic activity, our revenue grew by 4% for the year ended December 31, 2022. The increase to our organic revenue was driven by both segments.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Income/Margin</w:t>
      </w:r>
    </w:p>
    <w:p>
      <w:pPr>
        <w:spacing w:after="0" w:line="175"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8"/>
          <w:szCs w:val="18"/>
          <w:color w:val="auto"/>
        </w:rPr>
        <w:t>We consider adjusted operating income/margin to be important financial measures, which are used internally to evaluate and assess our core operations and to benchmark our operating results against our competitors.</w:t>
      </w:r>
    </w:p>
    <w:p>
      <w:pPr>
        <w:spacing w:after="0" w:line="109"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8"/>
          <w:szCs w:val="18"/>
          <w:color w:val="auto"/>
        </w:rPr>
        <w:t>Adjusted operating income is defined as income from operations adjusted for impairment, amortization, restructuring costs, transaction and transformation, net and non-recurring items that, in management’s judgment, significantly affect the period-over-period assessment of operating results. Adjusted operating income margin is calculated by dividing adjusted operating income by revenue.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Reconciliations of income from operations to adjusted operating income for the years ended December 31, 2022 and 2021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00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169"/>
        </w:trPr>
        <w:tc>
          <w:tcPr>
            <w:tcW w:w="7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 in</w:t>
            </w:r>
          </w:p>
        </w:tc>
        <w:tc>
          <w:tcPr>
            <w:tcW w:w="920" w:type="dxa"/>
            <w:vAlign w:val="bottom"/>
            <w:gridSpan w:val="2"/>
          </w:tcPr>
          <w:p>
            <w:pPr>
              <w:jc w:val="center"/>
              <w:ind w:right="370"/>
              <w:spacing w:after="0"/>
              <w:rPr>
                <w:sz w:val="20"/>
                <w:szCs w:val="20"/>
                <w:color w:val="auto"/>
              </w:rPr>
            </w:pPr>
            <w:r>
              <w:rPr>
                <w:rFonts w:ascii="Times New Roman" w:cs="Times New Roman" w:eastAsia="Times New Roman" w:hAnsi="Times New Roman"/>
                <w:sz w:val="14"/>
                <w:szCs w:val="14"/>
                <w:b w:val="1"/>
                <w:bCs w:val="1"/>
                <w:color w:val="auto"/>
                <w:w w:val="88"/>
              </w:rPr>
              <w:t>millions)</w:t>
            </w: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43"/>
        </w:trPr>
        <w:tc>
          <w:tcPr>
            <w:tcW w:w="7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180" w:type="dxa"/>
            <w:vAlign w:val="bottom"/>
            <w:shd w:val="clear" w:color="auto" w:fill="CFF0FC"/>
          </w:tcPr>
          <w:p>
            <w:pPr>
              <w:jc w:val="right"/>
              <w:ind w:right="9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1,178</w:t>
            </w: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center"/>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2,202</w:t>
            </w:r>
          </w:p>
        </w:tc>
        <w:tc>
          <w:tcPr>
            <w:tcW w:w="60" w:type="dxa"/>
            <w:vAlign w:val="bottom"/>
          </w:tcPr>
          <w:p>
            <w:pPr>
              <w:spacing w:after="0"/>
              <w:rPr>
                <w:sz w:val="21"/>
                <w:szCs w:val="21"/>
                <w:color w:val="auto"/>
              </w:rPr>
            </w:pPr>
          </w:p>
        </w:tc>
      </w:tr>
      <w:tr>
        <w:trPr>
          <w:trHeight w:val="23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for certain items:</w:t>
            </w:r>
          </w:p>
        </w:tc>
        <w:tc>
          <w:tcPr>
            <w:tcW w:w="1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1"/>
        </w:trPr>
        <w:tc>
          <w:tcPr>
            <w:tcW w:w="7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w:t>
            </w:r>
          </w:p>
        </w:tc>
        <w:tc>
          <w:tcPr>
            <w:tcW w:w="118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8"/>
        </w:trPr>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1180" w:type="dxa"/>
            <w:vAlign w:val="bottom"/>
          </w:tcPr>
          <w:p>
            <w:pPr>
              <w:spacing w:after="0"/>
              <w:rPr>
                <w:sz w:val="20"/>
                <w:szCs w:val="20"/>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369</w:t>
            </w:r>
          </w:p>
        </w:tc>
        <w:tc>
          <w:tcPr>
            <w:tcW w:w="60" w:type="dxa"/>
            <w:vAlign w:val="bottom"/>
          </w:tcPr>
          <w:p>
            <w:pPr>
              <w:spacing w:after="0"/>
              <w:rPr>
                <w:sz w:val="20"/>
                <w:szCs w:val="20"/>
                <w:color w:val="auto"/>
              </w:rPr>
            </w:pPr>
          </w:p>
        </w:tc>
      </w:tr>
      <w:tr>
        <w:trPr>
          <w:trHeight w:val="247"/>
        </w:trPr>
        <w:tc>
          <w:tcPr>
            <w:tcW w:w="7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118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21"/>
                <w:szCs w:val="21"/>
                <w:color w:val="auto"/>
              </w:rPr>
            </w:pPr>
          </w:p>
        </w:tc>
      </w:tr>
      <w:tr>
        <w:trPr>
          <w:trHeight w:val="243"/>
        </w:trPr>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and transformation, net</w:t>
            </w:r>
          </w:p>
        </w:tc>
        <w:tc>
          <w:tcPr>
            <w:tcW w:w="1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181</w:t>
            </w:r>
          </w:p>
        </w:tc>
        <w:tc>
          <w:tcPr>
            <w:tcW w:w="18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(806 )</w:t>
            </w:r>
          </w:p>
        </w:tc>
        <w:tc>
          <w:tcPr>
            <w:tcW w:w="60" w:type="dxa"/>
            <w:vAlign w:val="bottom"/>
          </w:tcPr>
          <w:p>
            <w:pPr>
              <w:spacing w:after="0"/>
              <w:rPr>
                <w:sz w:val="21"/>
                <w:szCs w:val="21"/>
                <w:color w:val="auto"/>
              </w:rPr>
            </w:pPr>
          </w:p>
        </w:tc>
      </w:tr>
      <w:tr>
        <w:trPr>
          <w:trHeight w:val="276"/>
        </w:trPr>
        <w:tc>
          <w:tcPr>
            <w:tcW w:w="7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1180" w:type="dxa"/>
            <w:vAlign w:val="bottom"/>
            <w:tcBorders>
              <w:bottom w:val="single" w:sz="8" w:color="auto"/>
            </w:tcBorders>
            <w:shd w:val="clear" w:color="auto" w:fill="CFF0FC"/>
          </w:tcPr>
          <w:p>
            <w:pPr>
              <w:jc w:val="right"/>
              <w:ind w:right="9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1,851</w:t>
            </w:r>
          </w:p>
        </w:tc>
        <w:tc>
          <w:tcPr>
            <w:tcW w:w="18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center"/>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1,791</w:t>
            </w:r>
          </w:p>
        </w:tc>
        <w:tc>
          <w:tcPr>
            <w:tcW w:w="60" w:type="dxa"/>
            <w:vAlign w:val="bottom"/>
          </w:tcPr>
          <w:p>
            <w:pPr>
              <w:spacing w:after="0"/>
              <w:rPr>
                <w:sz w:val="24"/>
                <w:szCs w:val="24"/>
                <w:color w:val="auto"/>
              </w:rPr>
            </w:pPr>
          </w:p>
        </w:tc>
      </w:tr>
      <w:tr>
        <w:trPr>
          <w:trHeight w:val="215"/>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 margin</w:t>
            </w:r>
          </w:p>
        </w:tc>
        <w:tc>
          <w:tcPr>
            <w:tcW w:w="1180" w:type="dxa"/>
            <w:vAlign w:val="bottom"/>
          </w:tcPr>
          <w:p>
            <w:pPr>
              <w:spacing w:after="0"/>
              <w:rPr>
                <w:sz w:val="18"/>
                <w:szCs w:val="18"/>
                <w:color w:val="auto"/>
              </w:rPr>
            </w:pPr>
          </w:p>
        </w:tc>
        <w:tc>
          <w:tcPr>
            <w:tcW w:w="10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13.3 %</w:t>
            </w:r>
          </w:p>
        </w:tc>
        <w:tc>
          <w:tcPr>
            <w:tcW w:w="7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24.5 %</w:t>
            </w:r>
          </w:p>
        </w:tc>
      </w:tr>
      <w:tr>
        <w:trPr>
          <w:trHeight w:val="238"/>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income margin</w:t>
            </w:r>
          </w:p>
        </w:tc>
        <w:tc>
          <w:tcPr>
            <w:tcW w:w="1180" w:type="dxa"/>
            <w:vAlign w:val="bottom"/>
          </w:tcPr>
          <w:p>
            <w:pPr>
              <w:spacing w:after="0"/>
              <w:rPr>
                <w:sz w:val="20"/>
                <w:szCs w:val="20"/>
                <w:color w:val="auto"/>
              </w:rPr>
            </w:pPr>
          </w:p>
        </w:tc>
        <w:tc>
          <w:tcPr>
            <w:tcW w:w="10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20.9 %</w:t>
            </w:r>
          </w:p>
        </w:tc>
        <w:tc>
          <w:tcPr>
            <w:tcW w:w="74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32320" cy="3340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334010"/>
                    </a:xfrm>
                    <a:prstGeom prst="rect">
                      <a:avLst/>
                    </a:prstGeom>
                    <a:noFill/>
                  </pic:spPr>
                </pic:pic>
              </a:graphicData>
            </a:graphic>
          </wp:anchor>
        </w:drawing>
      </w:r>
    </w:p>
    <w:p>
      <w:pPr>
        <w:spacing w:after="0" w:line="191"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Adjusted operating income increased for the year ended December 31, 2022 to $1.9 billion, from $1.8 billion for the year ended December 31, 2021. This increase resulted from salaries and benefits, as a percentage of revenue, reducing from 58% to 57% on an as- reported basis, primarily related to the reduction in discretionary and incentive costs.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EBITDA/Margin</w:t>
      </w:r>
    </w:p>
    <w:p>
      <w:pPr>
        <w:spacing w:after="0" w:line="175" w:lineRule="exact"/>
        <w:rPr>
          <w:sz w:val="20"/>
          <w:szCs w:val="20"/>
          <w:color w:val="auto"/>
        </w:rPr>
      </w:pPr>
    </w:p>
    <w:p>
      <w:pPr>
        <w:ind w:right="780"/>
        <w:spacing w:after="0" w:line="281" w:lineRule="auto"/>
        <w:rPr>
          <w:sz w:val="20"/>
          <w:szCs w:val="20"/>
          <w:color w:val="auto"/>
        </w:rPr>
      </w:pPr>
      <w:r>
        <w:rPr>
          <w:rFonts w:ascii="Times New Roman" w:cs="Times New Roman" w:eastAsia="Times New Roman" w:hAnsi="Times New Roman"/>
          <w:sz w:val="18"/>
          <w:szCs w:val="18"/>
          <w:color w:val="auto"/>
        </w:rPr>
        <w:t>We consider adjusted EBITDA/margin to be important financial measures, which are used internally to evaluate and assess our core operations, to benchmark our operating results against our competitors and to evaluate and measure our performance-based compensation plans.</w:t>
      </w:r>
    </w:p>
    <w:p>
      <w:pPr>
        <w:spacing w:after="0" w:line="109" w:lineRule="exact"/>
        <w:rPr>
          <w:sz w:val="20"/>
          <w:szCs w:val="20"/>
          <w:color w:val="auto"/>
        </w:rPr>
      </w:pPr>
    </w:p>
    <w:p>
      <w:pPr>
        <w:jc w:val="both"/>
        <w:ind w:right="320"/>
        <w:spacing w:after="0" w:line="260" w:lineRule="auto"/>
        <w:rPr>
          <w:sz w:val="20"/>
          <w:szCs w:val="20"/>
          <w:color w:val="auto"/>
        </w:rPr>
      </w:pPr>
      <w:r>
        <w:rPr>
          <w:rFonts w:ascii="Times New Roman" w:cs="Times New Roman" w:eastAsia="Times New Roman" w:hAnsi="Times New Roman"/>
          <w:sz w:val="18"/>
          <w:szCs w:val="18"/>
          <w:color w:val="auto"/>
        </w:rPr>
        <w:t>Adjusted EBITDA is defined as net income adjusted for income from discontinued operations, net of tax, provision for income taxes, interest expense, impairment, depreciation and amortization, restructuring costs, transaction and transformation, net, gains and losses on disposals of operations and non-recurring items that, in management’s judgment, significantly affect the period-over-period assessment of operating results. Adjusted EBITDA margin is calculated by dividing adjusted EBITDA by revenue.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net income to adjusted EBITDA for the years ended December 31, 2022 and 2021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00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8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169"/>
        </w:trPr>
        <w:tc>
          <w:tcPr>
            <w:tcW w:w="7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 in</w:t>
            </w:r>
          </w:p>
        </w:tc>
        <w:tc>
          <w:tcPr>
            <w:tcW w:w="920" w:type="dxa"/>
            <w:vAlign w:val="bottom"/>
            <w:gridSpan w:val="2"/>
          </w:tcPr>
          <w:p>
            <w:pPr>
              <w:jc w:val="center"/>
              <w:ind w:right="370"/>
              <w:spacing w:after="0"/>
              <w:rPr>
                <w:sz w:val="20"/>
                <w:szCs w:val="20"/>
                <w:color w:val="auto"/>
              </w:rPr>
            </w:pPr>
            <w:r>
              <w:rPr>
                <w:rFonts w:ascii="Times New Roman" w:cs="Times New Roman" w:eastAsia="Times New Roman" w:hAnsi="Times New Roman"/>
                <w:sz w:val="14"/>
                <w:szCs w:val="14"/>
                <w:b w:val="1"/>
                <w:bCs w:val="1"/>
                <w:color w:val="auto"/>
                <w:w w:val="88"/>
              </w:rPr>
              <w:t>millions)</w:t>
            </w: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43"/>
        </w:trPr>
        <w:tc>
          <w:tcPr>
            <w:tcW w:w="7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shd w:val="clear" w:color="auto" w:fill="CFF0FC"/>
          </w:tcPr>
          <w:p>
            <w:pPr>
              <w:jc w:val="right"/>
              <w:ind w:right="9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1,024</w:t>
            </w: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center"/>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4,236</w:t>
            </w:r>
          </w:p>
        </w:tc>
        <w:tc>
          <w:tcPr>
            <w:tcW w:w="60" w:type="dxa"/>
            <w:vAlign w:val="bottom"/>
          </w:tcPr>
          <w:p>
            <w:pPr>
              <w:spacing w:after="0"/>
              <w:rPr>
                <w:sz w:val="21"/>
                <w:szCs w:val="21"/>
                <w:color w:val="auto"/>
              </w:rPr>
            </w:pPr>
          </w:p>
        </w:tc>
      </w:tr>
      <w:tr>
        <w:trPr>
          <w:trHeight w:val="238"/>
        </w:trPr>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Loss/(income) from discontinued operations, net of tax</w:t>
            </w:r>
          </w:p>
        </w:tc>
        <w:tc>
          <w:tcPr>
            <w:tcW w:w="1180" w:type="dxa"/>
            <w:vAlign w:val="bottom"/>
          </w:tcPr>
          <w:p>
            <w:pPr>
              <w:spacing w:after="0"/>
              <w:rPr>
                <w:sz w:val="20"/>
                <w:szCs w:val="20"/>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(2,080 )</w:t>
            </w:r>
          </w:p>
        </w:tc>
        <w:tc>
          <w:tcPr>
            <w:tcW w:w="60" w:type="dxa"/>
            <w:vAlign w:val="bottom"/>
          </w:tcPr>
          <w:p>
            <w:pPr>
              <w:spacing w:after="0"/>
              <w:rPr>
                <w:sz w:val="20"/>
                <w:szCs w:val="20"/>
                <w:color w:val="auto"/>
              </w:rPr>
            </w:pPr>
          </w:p>
        </w:tc>
      </w:tr>
      <w:tr>
        <w:trPr>
          <w:trHeight w:val="247"/>
        </w:trPr>
        <w:tc>
          <w:tcPr>
            <w:tcW w:w="7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8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194</w:t>
            </w: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536</w:t>
            </w:r>
          </w:p>
        </w:tc>
        <w:tc>
          <w:tcPr>
            <w:tcW w:w="60" w:type="dxa"/>
            <w:vAlign w:val="bottom"/>
          </w:tcPr>
          <w:p>
            <w:pPr>
              <w:spacing w:after="0"/>
              <w:rPr>
                <w:sz w:val="21"/>
                <w:szCs w:val="21"/>
                <w:color w:val="auto"/>
              </w:rPr>
            </w:pPr>
          </w:p>
        </w:tc>
      </w:tr>
      <w:tr>
        <w:trPr>
          <w:trHeight w:val="234"/>
        </w:trPr>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180" w:type="dxa"/>
            <w:vAlign w:val="bottom"/>
          </w:tcPr>
          <w:p>
            <w:pPr>
              <w:spacing w:after="0"/>
              <w:rPr>
                <w:sz w:val="20"/>
                <w:szCs w:val="20"/>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208</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211</w:t>
            </w:r>
          </w:p>
        </w:tc>
        <w:tc>
          <w:tcPr>
            <w:tcW w:w="60" w:type="dxa"/>
            <w:vAlign w:val="bottom"/>
          </w:tcPr>
          <w:p>
            <w:pPr>
              <w:spacing w:after="0"/>
              <w:rPr>
                <w:sz w:val="20"/>
                <w:szCs w:val="20"/>
                <w:color w:val="auto"/>
              </w:rPr>
            </w:pPr>
          </w:p>
        </w:tc>
      </w:tr>
      <w:tr>
        <w:trPr>
          <w:trHeight w:val="251"/>
        </w:trPr>
        <w:tc>
          <w:tcPr>
            <w:tcW w:w="7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w:t>
            </w:r>
          </w:p>
        </w:tc>
        <w:tc>
          <w:tcPr>
            <w:tcW w:w="118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8"/>
        </w:trPr>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1180" w:type="dxa"/>
            <w:vAlign w:val="bottom"/>
          </w:tcPr>
          <w:p>
            <w:pPr>
              <w:spacing w:after="0"/>
              <w:rPr>
                <w:sz w:val="20"/>
                <w:szCs w:val="20"/>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255</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281</w:t>
            </w:r>
          </w:p>
        </w:tc>
        <w:tc>
          <w:tcPr>
            <w:tcW w:w="60" w:type="dxa"/>
            <w:vAlign w:val="bottom"/>
          </w:tcPr>
          <w:p>
            <w:pPr>
              <w:spacing w:after="0"/>
              <w:rPr>
                <w:sz w:val="20"/>
                <w:szCs w:val="20"/>
                <w:color w:val="auto"/>
              </w:rPr>
            </w:pPr>
          </w:p>
        </w:tc>
      </w:tr>
      <w:tr>
        <w:trPr>
          <w:trHeight w:val="247"/>
        </w:trPr>
        <w:tc>
          <w:tcPr>
            <w:tcW w:w="7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118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369</w:t>
            </w:r>
          </w:p>
        </w:tc>
        <w:tc>
          <w:tcPr>
            <w:tcW w:w="60" w:type="dxa"/>
            <w:vAlign w:val="bottom"/>
          </w:tcPr>
          <w:p>
            <w:pPr>
              <w:spacing w:after="0"/>
              <w:rPr>
                <w:sz w:val="21"/>
                <w:szCs w:val="21"/>
                <w:color w:val="auto"/>
              </w:rPr>
            </w:pPr>
          </w:p>
        </w:tc>
      </w:tr>
      <w:tr>
        <w:trPr>
          <w:trHeight w:val="238"/>
        </w:trPr>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1180" w:type="dxa"/>
            <w:vAlign w:val="bottom"/>
          </w:tcPr>
          <w:p>
            <w:pPr>
              <w:spacing w:after="0"/>
              <w:rPr>
                <w:sz w:val="20"/>
                <w:szCs w:val="20"/>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20"/>
                <w:szCs w:val="20"/>
                <w:color w:val="auto"/>
              </w:rPr>
            </w:pPr>
          </w:p>
        </w:tc>
      </w:tr>
      <w:tr>
        <w:trPr>
          <w:trHeight w:val="247"/>
        </w:trPr>
        <w:tc>
          <w:tcPr>
            <w:tcW w:w="7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Transaction and transformation, net</w:t>
            </w:r>
          </w:p>
        </w:tc>
        <w:tc>
          <w:tcPr>
            <w:tcW w:w="118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181</w:t>
            </w: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(806 )</w:t>
            </w:r>
          </w:p>
        </w:tc>
        <w:tc>
          <w:tcPr>
            <w:tcW w:w="60" w:type="dxa"/>
            <w:vAlign w:val="bottom"/>
          </w:tcPr>
          <w:p>
            <w:pPr>
              <w:spacing w:after="0"/>
              <w:rPr>
                <w:sz w:val="21"/>
                <w:szCs w:val="21"/>
                <w:color w:val="auto"/>
              </w:rPr>
            </w:pPr>
          </w:p>
        </w:tc>
      </w:tr>
      <w:tr>
        <w:trPr>
          <w:trHeight w:val="243"/>
        </w:trPr>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disposal of operations</w:t>
            </w:r>
          </w:p>
        </w:tc>
        <w:tc>
          <w:tcPr>
            <w:tcW w:w="1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8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(379 )</w:t>
            </w:r>
          </w:p>
        </w:tc>
        <w:tc>
          <w:tcPr>
            <w:tcW w:w="60" w:type="dxa"/>
            <w:vAlign w:val="bottom"/>
          </w:tcPr>
          <w:p>
            <w:pPr>
              <w:spacing w:after="0"/>
              <w:rPr>
                <w:sz w:val="21"/>
                <w:szCs w:val="21"/>
                <w:color w:val="auto"/>
              </w:rPr>
            </w:pPr>
          </w:p>
        </w:tc>
      </w:tr>
      <w:tr>
        <w:trPr>
          <w:trHeight w:val="276"/>
        </w:trPr>
        <w:tc>
          <w:tcPr>
            <w:tcW w:w="7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180" w:type="dxa"/>
            <w:vAlign w:val="bottom"/>
            <w:tcBorders>
              <w:bottom w:val="single" w:sz="8" w:color="auto"/>
            </w:tcBorders>
            <w:shd w:val="clear" w:color="auto" w:fill="CFF0FC"/>
          </w:tcPr>
          <w:p>
            <w:pPr>
              <w:jc w:val="right"/>
              <w:ind w:right="9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2,387</w:t>
            </w:r>
          </w:p>
        </w:tc>
        <w:tc>
          <w:tcPr>
            <w:tcW w:w="18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center"/>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2,394</w:t>
            </w:r>
          </w:p>
        </w:tc>
        <w:tc>
          <w:tcPr>
            <w:tcW w:w="60" w:type="dxa"/>
            <w:vAlign w:val="bottom"/>
          </w:tcPr>
          <w:p>
            <w:pPr>
              <w:spacing w:after="0"/>
              <w:rPr>
                <w:sz w:val="24"/>
                <w:szCs w:val="24"/>
                <w:color w:val="auto"/>
              </w:rPr>
            </w:pPr>
          </w:p>
        </w:tc>
      </w:tr>
      <w:tr>
        <w:trPr>
          <w:trHeight w:val="215"/>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margin</w:t>
            </w:r>
          </w:p>
        </w:tc>
        <w:tc>
          <w:tcPr>
            <w:tcW w:w="1180" w:type="dxa"/>
            <w:vAlign w:val="bottom"/>
          </w:tcPr>
          <w:p>
            <w:pPr>
              <w:spacing w:after="0"/>
              <w:rPr>
                <w:sz w:val="18"/>
                <w:szCs w:val="18"/>
                <w:color w:val="auto"/>
              </w:rPr>
            </w:pPr>
          </w:p>
        </w:tc>
        <w:tc>
          <w:tcPr>
            <w:tcW w:w="10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11.5 %</w:t>
            </w:r>
          </w:p>
        </w:tc>
        <w:tc>
          <w:tcPr>
            <w:tcW w:w="7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47.1 %</w:t>
            </w:r>
          </w:p>
        </w:tc>
      </w:tr>
      <w:tr>
        <w:trPr>
          <w:trHeight w:val="238"/>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1180" w:type="dxa"/>
            <w:vAlign w:val="bottom"/>
          </w:tcPr>
          <w:p>
            <w:pPr>
              <w:spacing w:after="0"/>
              <w:rPr>
                <w:sz w:val="20"/>
                <w:szCs w:val="20"/>
                <w:color w:val="auto"/>
              </w:rPr>
            </w:pPr>
          </w:p>
        </w:tc>
        <w:tc>
          <w:tcPr>
            <w:tcW w:w="10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26.9 %</w:t>
            </w:r>
          </w:p>
        </w:tc>
        <w:tc>
          <w:tcPr>
            <w:tcW w:w="74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32320" cy="3340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334010"/>
                    </a:xfrm>
                    <a:prstGeom prst="rect">
                      <a:avLst/>
                    </a:prstGeom>
                    <a:noFill/>
                  </pic:spPr>
                </pic:pic>
              </a:graphicData>
            </a:graphic>
          </wp:anchor>
        </w:drawing>
      </w:r>
    </w:p>
    <w:p>
      <w:pPr>
        <w:spacing w:after="0" w:line="177"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Adjusted EBITDA for both the years ended December 31, 2022 and 2021 was $2.4 billion, a decrease of $7 million. This decrease was due to lower pension income, partially offset by salaries and benefits, as a percentage of revenue, reducing from 58% to 57% on an as-reported basis, primarily related to the reduction in discretionary and incentive costs in the current year.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and Adjusted Diluted Earnings Per Share</w:t>
      </w:r>
    </w:p>
    <w:p>
      <w:pPr>
        <w:spacing w:after="0" w:line="175"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Adjusted net income is defined as net income attributable to WTW adjusted for income from discontinued operations, net of tax, impairment, amortization, restructuring costs, transaction and transformation, net, gains and losses on disposals of operations and non-recurring items that, in management’s judgment, significantly affect the period-over-period assessment of operating results and the related tax effect of those adjustments and the tax effects of internal reorganizations. This measure is used solely for the purpose of calculating adjusted diluted earnings per share.</w:t>
      </w:r>
    </w:p>
    <w:p>
      <w:pPr>
        <w:spacing w:after="0" w:line="1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26" w:right="279" w:bottom="1440" w:gutter="0" w:footer="0" w:header="0"/>
        </w:sectPr>
      </w:pPr>
    </w:p>
    <w:bookmarkStart w:id="61" w:name="page62"/>
    <w:bookmarkEnd w:id="61"/>
    <w:p>
      <w:pPr>
        <w:ind w:right="60"/>
        <w:spacing w:after="0" w:line="281" w:lineRule="auto"/>
        <w:rPr>
          <w:sz w:val="20"/>
          <w:szCs w:val="20"/>
          <w:color w:val="auto"/>
        </w:rPr>
      </w:pPr>
      <w:r>
        <w:rPr>
          <w:rFonts w:ascii="Times New Roman" w:cs="Times New Roman" w:eastAsia="Times New Roman" w:hAnsi="Times New Roman"/>
          <w:sz w:val="18"/>
          <w:szCs w:val="18"/>
          <w:color w:val="auto"/>
        </w:rPr>
        <w:t>Adjusted diluted earnings per share is defined as adjusted net income divided by the weighted-average number of ordinary shares, diluted. Adjusted diluted earnings per share is used to internally evaluate and assess our core operations and to benchmark our operating results against our competitors.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net income attributable to WTW to adjusted diluted earnings per share for the years ended December 31, 2022 and 2021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00" w:type="dxa"/>
            <w:vAlign w:val="bottom"/>
            <w:tcBorders>
              <w:bottom w:val="single" w:sz="8" w:color="auto"/>
            </w:tcBorders>
          </w:tcPr>
          <w:p>
            <w:pPr>
              <w:spacing w:after="0"/>
              <w:rPr>
                <w:sz w:val="16"/>
                <w:szCs w:val="16"/>
                <w:color w:val="auto"/>
              </w:rPr>
            </w:pPr>
          </w:p>
        </w:tc>
      </w:tr>
      <w:tr>
        <w:trPr>
          <w:trHeight w:val="169"/>
        </w:trPr>
        <w:tc>
          <w:tcPr>
            <w:tcW w:w="704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700" w:type="dxa"/>
            <w:vAlign w:val="bottom"/>
            <w:tcBorders>
              <w:bottom w:val="single" w:sz="8" w:color="auto"/>
            </w:tcBorders>
          </w:tcPr>
          <w:p>
            <w:pPr>
              <w:spacing w:after="0"/>
              <w:rPr>
                <w:sz w:val="14"/>
                <w:szCs w:val="14"/>
                <w:color w:val="auto"/>
              </w:rPr>
            </w:pPr>
          </w:p>
        </w:tc>
      </w:tr>
      <w:tr>
        <w:trPr>
          <w:trHeight w:val="169"/>
        </w:trPr>
        <w:tc>
          <w:tcPr>
            <w:tcW w:w="7040" w:type="dxa"/>
            <w:vAlign w:val="bottom"/>
          </w:tcPr>
          <w:p>
            <w:pPr>
              <w:spacing w:after="0"/>
              <w:rPr>
                <w:sz w:val="14"/>
                <w:szCs w:val="14"/>
                <w:color w:val="auto"/>
              </w:rPr>
            </w:pPr>
          </w:p>
        </w:tc>
        <w:tc>
          <w:tcPr>
            <w:tcW w:w="350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 and weighted-average shares in millions)</w:t>
            </w:r>
          </w:p>
        </w:tc>
        <w:tc>
          <w:tcPr>
            <w:tcW w:w="700" w:type="dxa"/>
            <w:vAlign w:val="bottom"/>
          </w:tcPr>
          <w:p>
            <w:pPr>
              <w:spacing w:after="0"/>
              <w:rPr>
                <w:sz w:val="14"/>
                <w:szCs w:val="14"/>
                <w:color w:val="auto"/>
              </w:rPr>
            </w:pPr>
          </w:p>
        </w:tc>
      </w:tr>
      <w:tr>
        <w:trPr>
          <w:trHeight w:val="243"/>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WTW</w:t>
            </w:r>
          </w:p>
        </w:tc>
        <w:tc>
          <w:tcPr>
            <w:tcW w:w="1160" w:type="dxa"/>
            <w:vAlign w:val="bottom"/>
            <w:shd w:val="clear" w:color="auto" w:fill="CFF0FC"/>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1,009</w:t>
            </w:r>
          </w:p>
        </w:tc>
        <w:tc>
          <w:tcPr>
            <w:tcW w:w="1480" w:type="dxa"/>
            <w:vAlign w:val="bottom"/>
            <w:gridSpan w:val="2"/>
            <w:shd w:val="clear" w:color="auto" w:fill="CFF0FC"/>
          </w:tcPr>
          <w:p>
            <w:pPr>
              <w:jc w:val="right"/>
              <w:ind w:right="11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4,222</w:t>
            </w:r>
          </w:p>
        </w:tc>
      </w:tr>
      <w:tr>
        <w:trPr>
          <w:trHeight w:val="23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for certain items:</w:t>
            </w: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47"/>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Loss/(income) from discontinued operations, net of tax</w:t>
            </w:r>
          </w:p>
        </w:tc>
        <w:tc>
          <w:tcPr>
            <w:tcW w:w="11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(2,080 )</w:t>
            </w:r>
          </w:p>
        </w:tc>
      </w:tr>
      <w:tr>
        <w:trPr>
          <w:trHeight w:val="238"/>
        </w:trPr>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w:t>
            </w:r>
          </w:p>
        </w:tc>
        <w:tc>
          <w:tcPr>
            <w:tcW w:w="116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11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369</w:t>
            </w:r>
          </w:p>
        </w:tc>
      </w:tr>
      <w:tr>
        <w:trPr>
          <w:trHeight w:val="238"/>
        </w:trPr>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116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r>
      <w:tr>
        <w:trPr>
          <w:trHeight w:val="247"/>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Transaction and transformation, net</w:t>
            </w:r>
          </w:p>
        </w:tc>
        <w:tc>
          <w:tcPr>
            <w:tcW w:w="11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181</w:t>
            </w:r>
          </w:p>
        </w:tc>
        <w:tc>
          <w:tcPr>
            <w:tcW w:w="1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(806 )</w:t>
            </w:r>
          </w:p>
        </w:tc>
      </w:tr>
      <w:tr>
        <w:trPr>
          <w:trHeight w:val="238"/>
        </w:trPr>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disposal of operations</w:t>
            </w:r>
          </w:p>
        </w:tc>
        <w:tc>
          <w:tcPr>
            <w:tcW w:w="1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(379 )</w:t>
            </w:r>
          </w:p>
        </w:tc>
      </w:tr>
      <w:tr>
        <w:trPr>
          <w:trHeight w:val="247"/>
        </w:trPr>
        <w:tc>
          <w:tcPr>
            <w:tcW w:w="7040" w:type="dxa"/>
            <w:vAlign w:val="bottom"/>
            <w:shd w:val="clear" w:color="auto" w:fill="CFF0FC"/>
          </w:tcPr>
          <w:p>
            <w:pPr>
              <w:ind w:left="200"/>
              <w:spacing w:after="0" w:line="247" w:lineRule="exact"/>
              <w:rPr>
                <w:sz w:val="20"/>
                <w:szCs w:val="20"/>
                <w:color w:val="auto"/>
              </w:rPr>
            </w:pPr>
            <w:r>
              <w:rPr>
                <w:rFonts w:ascii="Times New Roman" w:cs="Times New Roman" w:eastAsia="Times New Roman" w:hAnsi="Times New Roman"/>
                <w:sz w:val="18"/>
                <w:szCs w:val="18"/>
                <w:color w:val="auto"/>
              </w:rPr>
              <w:t xml:space="preserve">Tax effect on certain items listed above </w:t>
            </w:r>
            <w:r>
              <w:rPr>
                <w:rFonts w:ascii="Times New Roman" w:cs="Times New Roman" w:eastAsia="Times New Roman" w:hAnsi="Times New Roman"/>
                <w:sz w:val="24"/>
                <w:szCs w:val="24"/>
                <w:color w:val="auto"/>
                <w:vertAlign w:val="superscript"/>
              </w:rPr>
              <w:t>(i)</w:t>
            </w:r>
          </w:p>
        </w:tc>
        <w:tc>
          <w:tcPr>
            <w:tcW w:w="1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1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r>
      <w:tr>
        <w:trPr>
          <w:trHeight w:val="238"/>
        </w:trPr>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effect of statutory rate change</w:t>
            </w:r>
          </w:p>
        </w:tc>
        <w:tc>
          <w:tcPr>
            <w:tcW w:w="116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r>
      <w:tr>
        <w:trPr>
          <w:trHeight w:val="247"/>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 effect of the CARES Act</w:t>
            </w:r>
          </w:p>
        </w:tc>
        <w:tc>
          <w:tcPr>
            <w:tcW w:w="1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effect of internal reorganizations</w:t>
            </w:r>
          </w:p>
        </w:tc>
        <w:tc>
          <w:tcPr>
            <w:tcW w:w="1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2"/>
        </w:trPr>
        <w:tc>
          <w:tcPr>
            <w:tcW w:w="704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auto"/>
            </w:tcBorders>
            <w:shd w:val="clear" w:color="auto" w:fill="CFF0FC"/>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1,507</w:t>
            </w:r>
          </w:p>
        </w:tc>
        <w:tc>
          <w:tcPr>
            <w:tcW w:w="180" w:type="dxa"/>
            <w:vAlign w:val="bottom"/>
            <w:tcBorders>
              <w:bottom w:val="single" w:sz="8" w:color="CFF0FC"/>
            </w:tcBorders>
            <w:shd w:val="clear" w:color="auto" w:fill="CFF0FC"/>
          </w:tcPr>
          <w:p>
            <w:pPr>
              <w:spacing w:after="0"/>
              <w:rPr>
                <w:sz w:val="23"/>
                <w:szCs w:val="23"/>
                <w:color w:val="auto"/>
              </w:rPr>
            </w:pPr>
          </w:p>
        </w:tc>
        <w:tc>
          <w:tcPr>
            <w:tcW w:w="1300" w:type="dxa"/>
            <w:vAlign w:val="bottom"/>
            <w:tcBorders>
              <w:bottom w:val="single" w:sz="8" w:color="auto"/>
            </w:tcBorders>
            <w:shd w:val="clear" w:color="auto" w:fill="CFF0FC"/>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1,495</w:t>
            </w: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ordinary shares — diluted</w:t>
            </w:r>
          </w:p>
        </w:tc>
        <w:tc>
          <w:tcPr>
            <w:tcW w:w="116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w:t>
            </w:r>
          </w:p>
        </w:tc>
      </w:tr>
      <w:tr>
        <w:trPr>
          <w:trHeight w:val="247"/>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160" w:type="dxa"/>
            <w:vAlign w:val="bottom"/>
            <w:shd w:val="clear" w:color="auto" w:fill="CFF0FC"/>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8.98</w:t>
            </w:r>
          </w:p>
        </w:tc>
        <w:tc>
          <w:tcPr>
            <w:tcW w:w="1480" w:type="dxa"/>
            <w:vAlign w:val="bottom"/>
            <w:gridSpan w:val="2"/>
            <w:shd w:val="clear" w:color="auto" w:fill="CFF0FC"/>
          </w:tcPr>
          <w:p>
            <w:pPr>
              <w:jc w:val="right"/>
              <w:ind w:right="11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32.78</w:t>
            </w:r>
          </w:p>
        </w:tc>
      </w:tr>
      <w:tr>
        <w:trPr>
          <w:trHeight w:val="243"/>
        </w:trPr>
        <w:tc>
          <w:tcPr>
            <w:tcW w:w="70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Adjusted for certain items </w:t>
            </w:r>
            <w:r>
              <w:rPr>
                <w:rFonts w:ascii="Times New Roman" w:cs="Times New Roman" w:eastAsia="Times New Roman" w:hAnsi="Times New Roman"/>
                <w:sz w:val="24"/>
                <w:szCs w:val="24"/>
                <w:color w:val="auto"/>
                <w:vertAlign w:val="superscript"/>
              </w:rPr>
              <w:t>(ii)</w:t>
            </w:r>
            <w:r>
              <w:rPr>
                <w:rFonts w:ascii="Times New Roman" w:cs="Times New Roman" w:eastAsia="Times New Roman" w:hAnsi="Times New Roman"/>
                <w:sz w:val="18"/>
                <w:szCs w:val="18"/>
                <w:color w:val="auto"/>
              </w:rPr>
              <w:t>:</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43"/>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Loss/(income) from discontinued operations, net of tax</w:t>
            </w:r>
          </w:p>
        </w:tc>
        <w:tc>
          <w:tcPr>
            <w:tcW w:w="11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0.36</w:t>
            </w:r>
          </w:p>
        </w:tc>
        <w:tc>
          <w:tcPr>
            <w:tcW w:w="1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(16.15 )</w:t>
            </w:r>
          </w:p>
        </w:tc>
      </w:tr>
      <w:tr>
        <w:trPr>
          <w:trHeight w:val="238"/>
        </w:trPr>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w:t>
            </w:r>
          </w:p>
        </w:tc>
        <w:tc>
          <w:tcPr>
            <w:tcW w:w="116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0.72</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11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2.78</w:t>
            </w:r>
          </w:p>
        </w:tc>
        <w:tc>
          <w:tcPr>
            <w:tcW w:w="1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2.86</w:t>
            </w:r>
          </w:p>
        </w:tc>
      </w:tr>
      <w:tr>
        <w:trPr>
          <w:trHeight w:val="238"/>
        </w:trPr>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116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0.88</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0.20</w:t>
            </w:r>
          </w:p>
        </w:tc>
      </w:tr>
      <w:tr>
        <w:trPr>
          <w:trHeight w:val="247"/>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Transaction and transformation, net</w:t>
            </w:r>
          </w:p>
        </w:tc>
        <w:tc>
          <w:tcPr>
            <w:tcW w:w="11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1.61</w:t>
            </w:r>
          </w:p>
        </w:tc>
        <w:tc>
          <w:tcPr>
            <w:tcW w:w="1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(6.26 )</w:t>
            </w:r>
          </w:p>
        </w:tc>
      </w:tr>
      <w:tr>
        <w:trPr>
          <w:trHeight w:val="238"/>
        </w:trPr>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disposal of operations</w:t>
            </w:r>
          </w:p>
        </w:tc>
        <w:tc>
          <w:tcPr>
            <w:tcW w:w="1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(0.06 )</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(2.94 )</w:t>
            </w:r>
          </w:p>
        </w:tc>
      </w:tr>
      <w:tr>
        <w:trPr>
          <w:trHeight w:val="247"/>
        </w:trPr>
        <w:tc>
          <w:tcPr>
            <w:tcW w:w="7040" w:type="dxa"/>
            <w:vAlign w:val="bottom"/>
            <w:shd w:val="clear" w:color="auto" w:fill="CFF0FC"/>
          </w:tcPr>
          <w:p>
            <w:pPr>
              <w:ind w:left="200"/>
              <w:spacing w:after="0" w:line="247" w:lineRule="exact"/>
              <w:rPr>
                <w:sz w:val="20"/>
                <w:szCs w:val="20"/>
                <w:color w:val="auto"/>
              </w:rPr>
            </w:pPr>
            <w:r>
              <w:rPr>
                <w:rFonts w:ascii="Times New Roman" w:cs="Times New Roman" w:eastAsia="Times New Roman" w:hAnsi="Times New Roman"/>
                <w:sz w:val="18"/>
                <w:szCs w:val="18"/>
                <w:color w:val="auto"/>
              </w:rPr>
              <w:t xml:space="preserve">Tax effect on certain items listed above </w:t>
            </w:r>
            <w:r>
              <w:rPr>
                <w:rFonts w:ascii="Times New Roman" w:cs="Times New Roman" w:eastAsia="Times New Roman" w:hAnsi="Times New Roman"/>
                <w:sz w:val="24"/>
                <w:szCs w:val="24"/>
                <w:color w:val="auto"/>
                <w:vertAlign w:val="superscript"/>
              </w:rPr>
              <w:t>(i)</w:t>
            </w:r>
          </w:p>
        </w:tc>
        <w:tc>
          <w:tcPr>
            <w:tcW w:w="1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0.79</w:t>
            </w:r>
          </w:p>
        </w:tc>
      </w:tr>
      <w:tr>
        <w:trPr>
          <w:trHeight w:val="238"/>
        </w:trPr>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effect of statutory rate change</w:t>
            </w:r>
          </w:p>
        </w:tc>
        <w:tc>
          <w:tcPr>
            <w:tcW w:w="116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0.31</w:t>
            </w:r>
          </w:p>
        </w:tc>
      </w:tr>
      <w:tr>
        <w:trPr>
          <w:trHeight w:val="247"/>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 effect of the CARES Act</w:t>
            </w:r>
          </w:p>
        </w:tc>
        <w:tc>
          <w:tcPr>
            <w:tcW w:w="1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(0.21 )</w:t>
            </w:r>
          </w:p>
        </w:tc>
        <w:tc>
          <w:tcPr>
            <w:tcW w:w="1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effect of internal reorganizations</w:t>
            </w:r>
          </w:p>
        </w:tc>
        <w:tc>
          <w:tcPr>
            <w:tcW w:w="1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0.04</w:t>
            </w:r>
          </w:p>
        </w:tc>
        <w:tc>
          <w:tcPr>
            <w:tcW w:w="180" w:type="dxa"/>
            <w:vAlign w:val="bottom"/>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7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diluted earnings per share</w:t>
            </w:r>
          </w:p>
        </w:tc>
        <w:tc>
          <w:tcPr>
            <w:tcW w:w="1160" w:type="dxa"/>
            <w:vAlign w:val="bottom"/>
            <w:tcBorders>
              <w:bottom w:val="single" w:sz="8" w:color="auto"/>
            </w:tcBorders>
            <w:shd w:val="clear" w:color="auto" w:fill="CFF0FC"/>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13.41</w:t>
            </w:r>
          </w:p>
        </w:tc>
        <w:tc>
          <w:tcPr>
            <w:tcW w:w="18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auto"/>
            </w:tcBorders>
            <w:shd w:val="clear" w:color="auto" w:fill="CFF0FC"/>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5750560</wp:posOffset>
            </wp:positionH>
            <wp:positionV relativeFrom="paragraph">
              <wp:posOffset>-2216785</wp:posOffset>
            </wp:positionV>
            <wp:extent cx="111125" cy="1797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11125" cy="179705"/>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-24765</wp:posOffset>
            </wp:positionV>
            <wp:extent cx="1111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-7620</wp:posOffset>
            </wp:positionV>
            <wp:extent cx="1111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95059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27" w:lineRule="exact"/>
        <w:rPr>
          <w:sz w:val="20"/>
          <w:szCs w:val="20"/>
          <w:color w:val="auto"/>
        </w:rPr>
      </w:pPr>
    </w:p>
    <w:p>
      <w:pPr>
        <w:ind w:left="280" w:hanging="272"/>
        <w:spacing w:after="0"/>
        <w:tabs>
          <w:tab w:leader="none" w:pos="2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effect was calculated using an effective tax rate for each item.</w:t>
      </w:r>
    </w:p>
    <w:p>
      <w:pPr>
        <w:spacing w:after="0" w:line="27"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 share values and totals may differ due to rounding.</w:t>
      </w:r>
    </w:p>
    <w:p>
      <w:pPr>
        <w:spacing w:after="0" w:line="154"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Our adjusted diluted earnings per share increased for the year ended December 31, 2022 as compared to the year ended December 31, 2021 primarily due to a lower weighted-average outstanding share count attributable to our share repurchase activity in the current year.</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Income Before Taxes and Adjusted Income Taxes/Tax Rate</w:t>
      </w:r>
    </w:p>
    <w:p>
      <w:pPr>
        <w:spacing w:after="0" w:line="17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Adjusted income before taxes is defined as income from operations before income taxes adjusted for impairment, amortization, restructuring costs, transaction and transformation, net, gains and losses on disposals of operations and non-recurring items that, in management’s judgment, significantly affect the period-over-period assessment of operating results. Adjusted income before taxes is used solely for the purpose of calculating the adjusted income tax rate.</w:t>
      </w:r>
    </w:p>
    <w:p>
      <w:pPr>
        <w:spacing w:after="0" w:line="128"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Adjusted income taxes/tax rate is defined as the provision for income taxes adjusted for taxes on certain items of impairment, amortization, restructuring costs, transaction and transformation, net, gains and losses on disposals of operations, the tax effects of internal reorganizations and non-recurring items that, in management’s judgment, significantly affect the period-over-period assessment of operating results, divided by adjusted income before taxes. Adjusted income taxes is used solely for the purpose of calculating the adjusted income tax rate.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62" w:name="page63"/>
    <w:bookmarkEnd w:id="62"/>
    <w:p>
      <w:pPr>
        <w:ind w:right="140"/>
        <w:spacing w:after="0" w:line="281" w:lineRule="auto"/>
        <w:rPr>
          <w:sz w:val="20"/>
          <w:szCs w:val="20"/>
          <w:color w:val="auto"/>
        </w:rPr>
      </w:pPr>
      <w:r>
        <w:rPr>
          <w:rFonts w:ascii="Times New Roman" w:cs="Times New Roman" w:eastAsia="Times New Roman" w:hAnsi="Times New Roman"/>
          <w:sz w:val="18"/>
          <w:szCs w:val="18"/>
          <w:color w:val="auto"/>
        </w:rPr>
        <w:t>Management believes that the adjusted income tax rate presents a rate that is more closely aligned to the rate that we would incur if not for the reduction of pre-tax income for the adjusted items and the tax effects of internal reorganizations, which are not core to our current and future operations.</w:t>
      </w:r>
    </w:p>
    <w:p>
      <w:pPr>
        <w:spacing w:after="0" w:line="109"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Reconciliations of income from continuing operations before income taxes to adjusted income before taxes and provision for income taxes to adjusted income taxes for the years ended December 31, 2022 and 2021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00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8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169"/>
        </w:trPr>
        <w:tc>
          <w:tcPr>
            <w:tcW w:w="7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 in</w:t>
            </w:r>
          </w:p>
        </w:tc>
        <w:tc>
          <w:tcPr>
            <w:tcW w:w="920" w:type="dxa"/>
            <w:vAlign w:val="bottom"/>
            <w:gridSpan w:val="2"/>
          </w:tcPr>
          <w:p>
            <w:pPr>
              <w:jc w:val="center"/>
              <w:ind w:right="370"/>
              <w:spacing w:after="0"/>
              <w:rPr>
                <w:sz w:val="20"/>
                <w:szCs w:val="20"/>
                <w:color w:val="auto"/>
              </w:rPr>
            </w:pPr>
            <w:r>
              <w:rPr>
                <w:rFonts w:ascii="Times New Roman" w:cs="Times New Roman" w:eastAsia="Times New Roman" w:hAnsi="Times New Roman"/>
                <w:sz w:val="14"/>
                <w:szCs w:val="14"/>
                <w:b w:val="1"/>
                <w:bCs w:val="1"/>
                <w:color w:val="auto"/>
                <w:w w:val="88"/>
              </w:rPr>
              <w:t>millions)</w:t>
            </w: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1"/>
        </w:trPr>
        <w:tc>
          <w:tcPr>
            <w:tcW w:w="7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w:t>
            </w:r>
          </w:p>
        </w:tc>
        <w:tc>
          <w:tcPr>
            <w:tcW w:w="1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48"/>
        </w:trPr>
        <w:tc>
          <w:tcPr>
            <w:tcW w:w="70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INCOME TAXES</w:t>
            </w:r>
          </w:p>
        </w:tc>
        <w:tc>
          <w:tcPr>
            <w:tcW w:w="1180" w:type="dxa"/>
            <w:vAlign w:val="bottom"/>
            <w:shd w:val="clear" w:color="auto" w:fill="CFF0FC"/>
          </w:tcPr>
          <w:p>
            <w:pPr>
              <w:jc w:val="right"/>
              <w:ind w:right="99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1,258</w:t>
            </w: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center"/>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2,692</w:t>
            </w:r>
          </w:p>
        </w:tc>
        <w:tc>
          <w:tcPr>
            <w:tcW w:w="60" w:type="dxa"/>
            <w:vAlign w:val="bottom"/>
          </w:tcPr>
          <w:p>
            <w:pPr>
              <w:spacing w:after="0"/>
              <w:rPr>
                <w:sz w:val="21"/>
                <w:szCs w:val="21"/>
                <w:color w:val="auto"/>
              </w:rPr>
            </w:pPr>
          </w:p>
        </w:tc>
      </w:tr>
      <w:tr>
        <w:trPr>
          <w:trHeight w:val="23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for certain items:</w:t>
            </w:r>
          </w:p>
        </w:tc>
        <w:tc>
          <w:tcPr>
            <w:tcW w:w="1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1"/>
        </w:trPr>
        <w:tc>
          <w:tcPr>
            <w:tcW w:w="7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w:t>
            </w:r>
          </w:p>
        </w:tc>
        <w:tc>
          <w:tcPr>
            <w:tcW w:w="118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8"/>
        </w:trPr>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118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369</w:t>
            </w:r>
          </w:p>
        </w:tc>
        <w:tc>
          <w:tcPr>
            <w:tcW w:w="60" w:type="dxa"/>
            <w:vAlign w:val="bottom"/>
          </w:tcPr>
          <w:p>
            <w:pPr>
              <w:spacing w:after="0"/>
              <w:rPr>
                <w:sz w:val="20"/>
                <w:szCs w:val="20"/>
                <w:color w:val="auto"/>
              </w:rPr>
            </w:pPr>
          </w:p>
        </w:tc>
      </w:tr>
      <w:tr>
        <w:trPr>
          <w:trHeight w:val="247"/>
        </w:trPr>
        <w:tc>
          <w:tcPr>
            <w:tcW w:w="7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118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21"/>
                <w:szCs w:val="21"/>
                <w:color w:val="auto"/>
              </w:rPr>
            </w:pPr>
          </w:p>
        </w:tc>
      </w:tr>
      <w:tr>
        <w:trPr>
          <w:trHeight w:val="238"/>
        </w:trPr>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and transformation, net</w:t>
            </w:r>
          </w:p>
        </w:tc>
        <w:tc>
          <w:tcPr>
            <w:tcW w:w="118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181</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(806 )</w:t>
            </w:r>
          </w:p>
        </w:tc>
        <w:tc>
          <w:tcPr>
            <w:tcW w:w="60" w:type="dxa"/>
            <w:vAlign w:val="bottom"/>
          </w:tcPr>
          <w:p>
            <w:pPr>
              <w:spacing w:after="0"/>
              <w:rPr>
                <w:sz w:val="20"/>
                <w:szCs w:val="20"/>
                <w:color w:val="auto"/>
              </w:rPr>
            </w:pPr>
          </w:p>
        </w:tc>
      </w:tr>
      <w:tr>
        <w:trPr>
          <w:trHeight w:val="247"/>
        </w:trPr>
        <w:tc>
          <w:tcPr>
            <w:tcW w:w="70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on disposal of operations</w:t>
            </w:r>
          </w:p>
        </w:tc>
        <w:tc>
          <w:tcPr>
            <w:tcW w:w="11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8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(379 )</w:t>
            </w:r>
          </w:p>
        </w:tc>
        <w:tc>
          <w:tcPr>
            <w:tcW w:w="60" w:type="dxa"/>
            <w:vAlign w:val="bottom"/>
          </w:tcPr>
          <w:p>
            <w:pPr>
              <w:spacing w:after="0"/>
              <w:rPr>
                <w:sz w:val="21"/>
                <w:szCs w:val="21"/>
                <w:color w:val="auto"/>
              </w:rPr>
            </w:pPr>
          </w:p>
        </w:tc>
      </w:tr>
      <w:tr>
        <w:trPr>
          <w:trHeight w:val="236"/>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income before taxes</w:t>
            </w:r>
          </w:p>
        </w:tc>
        <w:tc>
          <w:tcPr>
            <w:tcW w:w="1180" w:type="dxa"/>
            <w:vAlign w:val="bottom"/>
            <w:tcBorders>
              <w:bottom w:val="single" w:sz="8" w:color="auto"/>
            </w:tcBorders>
          </w:tcPr>
          <w:p>
            <w:pPr>
              <w:jc w:val="right"/>
              <w:ind w:right="99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1,924</w:t>
            </w:r>
          </w:p>
        </w:tc>
        <w:tc>
          <w:tcPr>
            <w:tcW w:w="180" w:type="dxa"/>
            <w:vAlign w:val="bottom"/>
          </w:tcPr>
          <w:p>
            <w:pPr>
              <w:spacing w:after="0"/>
              <w:rPr>
                <w:sz w:val="20"/>
                <w:szCs w:val="20"/>
                <w:color w:val="auto"/>
              </w:rPr>
            </w:pPr>
          </w:p>
        </w:tc>
        <w:tc>
          <w:tcPr>
            <w:tcW w:w="740" w:type="dxa"/>
            <w:vAlign w:val="bottom"/>
            <w:tcBorders>
              <w:bottom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1,902</w:t>
            </w:r>
          </w:p>
        </w:tc>
        <w:tc>
          <w:tcPr>
            <w:tcW w:w="60" w:type="dxa"/>
            <w:vAlign w:val="bottom"/>
          </w:tcPr>
          <w:p>
            <w:pPr>
              <w:spacing w:after="0"/>
              <w:rPr>
                <w:sz w:val="20"/>
                <w:szCs w:val="20"/>
                <w:color w:val="auto"/>
              </w:rPr>
            </w:pPr>
          </w:p>
        </w:tc>
      </w:tr>
      <w:tr>
        <w:trPr>
          <w:trHeight w:val="20"/>
        </w:trPr>
        <w:tc>
          <w:tcPr>
            <w:tcW w:w="70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70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38"/>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80" w:type="dxa"/>
            <w:vAlign w:val="bottom"/>
          </w:tcPr>
          <w:p>
            <w:pPr>
              <w:jc w:val="right"/>
              <w:ind w:right="99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194</w:t>
            </w:r>
          </w:p>
        </w:tc>
        <w:tc>
          <w:tcPr>
            <w:tcW w:w="180" w:type="dxa"/>
            <w:vAlign w:val="bottom"/>
          </w:tcPr>
          <w:p>
            <w:pPr>
              <w:spacing w:after="0"/>
              <w:rPr>
                <w:sz w:val="20"/>
                <w:szCs w:val="20"/>
                <w:color w:val="auto"/>
              </w:rPr>
            </w:pPr>
          </w:p>
        </w:tc>
        <w:tc>
          <w:tcPr>
            <w:tcW w:w="74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536</w:t>
            </w:r>
          </w:p>
        </w:tc>
        <w:tc>
          <w:tcPr>
            <w:tcW w:w="60" w:type="dxa"/>
            <w:vAlign w:val="bottom"/>
          </w:tcPr>
          <w:p>
            <w:pPr>
              <w:spacing w:after="0"/>
              <w:rPr>
                <w:sz w:val="20"/>
                <w:szCs w:val="20"/>
                <w:color w:val="auto"/>
              </w:rPr>
            </w:pPr>
          </w:p>
        </w:tc>
      </w:tr>
      <w:tr>
        <w:trPr>
          <w:trHeight w:val="247"/>
        </w:trPr>
        <w:tc>
          <w:tcPr>
            <w:tcW w:w="7000" w:type="dxa"/>
            <w:vAlign w:val="bottom"/>
            <w:shd w:val="clear" w:color="auto" w:fill="CFF0FC"/>
          </w:tcPr>
          <w:p>
            <w:pPr>
              <w:ind w:left="200"/>
              <w:spacing w:after="0" w:line="247" w:lineRule="exact"/>
              <w:rPr>
                <w:sz w:val="20"/>
                <w:szCs w:val="20"/>
                <w:color w:val="auto"/>
              </w:rPr>
            </w:pPr>
            <w:r>
              <w:rPr>
                <w:rFonts w:ascii="Times New Roman" w:cs="Times New Roman" w:eastAsia="Times New Roman" w:hAnsi="Times New Roman"/>
                <w:sz w:val="18"/>
                <w:szCs w:val="18"/>
                <w:color w:val="auto"/>
              </w:rPr>
              <w:t xml:space="preserve">Tax effect on certain items listed above </w:t>
            </w:r>
            <w:r>
              <w:rPr>
                <w:rFonts w:ascii="Times New Roman" w:cs="Times New Roman" w:eastAsia="Times New Roman" w:hAnsi="Times New Roman"/>
                <w:sz w:val="24"/>
                <w:szCs w:val="24"/>
                <w:color w:val="auto"/>
                <w:vertAlign w:val="superscript"/>
              </w:rPr>
              <w:t>(i)</w:t>
            </w:r>
          </w:p>
        </w:tc>
        <w:tc>
          <w:tcPr>
            <w:tcW w:w="118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188</w:t>
            </w: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60" w:type="dxa"/>
            <w:vAlign w:val="bottom"/>
          </w:tcPr>
          <w:p>
            <w:pPr>
              <w:spacing w:after="0"/>
              <w:rPr>
                <w:sz w:val="21"/>
                <w:szCs w:val="21"/>
                <w:color w:val="auto"/>
              </w:rPr>
            </w:pPr>
          </w:p>
        </w:tc>
      </w:tr>
      <w:tr>
        <w:trPr>
          <w:trHeight w:val="234"/>
        </w:trPr>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effect of statutory rate change</w:t>
            </w:r>
          </w:p>
        </w:tc>
        <w:tc>
          <w:tcPr>
            <w:tcW w:w="1180" w:type="dxa"/>
            <w:vAlign w:val="bottom"/>
          </w:tcPr>
          <w:p>
            <w:pPr>
              <w:spacing w:after="0"/>
              <w:rPr>
                <w:sz w:val="20"/>
                <w:szCs w:val="20"/>
                <w:color w:val="auto"/>
              </w:rPr>
            </w:pPr>
          </w:p>
        </w:tc>
        <w:tc>
          <w:tcPr>
            <w:tcW w:w="104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60" w:type="dxa"/>
            <w:vAlign w:val="bottom"/>
          </w:tcPr>
          <w:p>
            <w:pPr>
              <w:spacing w:after="0"/>
              <w:rPr>
                <w:sz w:val="20"/>
                <w:szCs w:val="20"/>
                <w:color w:val="auto"/>
              </w:rPr>
            </w:pPr>
          </w:p>
        </w:tc>
      </w:tr>
      <w:tr>
        <w:trPr>
          <w:trHeight w:val="251"/>
        </w:trPr>
        <w:tc>
          <w:tcPr>
            <w:tcW w:w="7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 effect of the CARES Act</w:t>
            </w:r>
          </w:p>
        </w:tc>
        <w:tc>
          <w:tcPr>
            <w:tcW w:w="118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43"/>
        </w:trPr>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effect of internal reorganizations</w:t>
            </w:r>
          </w:p>
        </w:tc>
        <w:tc>
          <w:tcPr>
            <w:tcW w:w="1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8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76"/>
        </w:trPr>
        <w:tc>
          <w:tcPr>
            <w:tcW w:w="7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income taxes</w:t>
            </w:r>
          </w:p>
        </w:tc>
        <w:tc>
          <w:tcPr>
            <w:tcW w:w="1180" w:type="dxa"/>
            <w:vAlign w:val="bottom"/>
            <w:tcBorders>
              <w:bottom w:val="single" w:sz="8" w:color="auto"/>
            </w:tcBorders>
            <w:shd w:val="clear" w:color="auto" w:fill="CFF0FC"/>
          </w:tcPr>
          <w:p>
            <w:pPr>
              <w:jc w:val="right"/>
              <w:ind w:right="99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402</w:t>
            </w:r>
          </w:p>
        </w:tc>
        <w:tc>
          <w:tcPr>
            <w:tcW w:w="18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center"/>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393</w:t>
            </w:r>
          </w:p>
        </w:tc>
        <w:tc>
          <w:tcPr>
            <w:tcW w:w="60" w:type="dxa"/>
            <w:vAlign w:val="bottom"/>
          </w:tcPr>
          <w:p>
            <w:pPr>
              <w:spacing w:after="0"/>
              <w:rPr>
                <w:sz w:val="24"/>
                <w:szCs w:val="24"/>
                <w:color w:val="auto"/>
              </w:rPr>
            </w:pPr>
          </w:p>
        </w:tc>
      </w:tr>
      <w:tr>
        <w:trPr>
          <w:trHeight w:val="452"/>
        </w:trPr>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GAAP tax rate</w:t>
            </w:r>
          </w:p>
        </w:tc>
        <w:tc>
          <w:tcPr>
            <w:tcW w:w="1180" w:type="dxa"/>
            <w:vAlign w:val="bottom"/>
          </w:tcPr>
          <w:p>
            <w:pPr>
              <w:spacing w:after="0"/>
              <w:rPr>
                <w:sz w:val="24"/>
                <w:szCs w:val="24"/>
                <w:color w:val="auto"/>
              </w:rPr>
            </w:pPr>
          </w:p>
        </w:tc>
        <w:tc>
          <w:tcPr>
            <w:tcW w:w="10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15.4 %</w:t>
            </w:r>
          </w:p>
        </w:tc>
        <w:tc>
          <w:tcPr>
            <w:tcW w:w="74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19.9 %</w:t>
            </w:r>
          </w:p>
        </w:tc>
      </w:tr>
      <w:tr>
        <w:trPr>
          <w:trHeight w:val="243"/>
        </w:trPr>
        <w:tc>
          <w:tcPr>
            <w:tcW w:w="7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Adjusted income tax rate</w:t>
            </w:r>
          </w:p>
        </w:tc>
        <w:tc>
          <w:tcPr>
            <w:tcW w:w="1180" w:type="dxa"/>
            <w:vAlign w:val="bottom"/>
          </w:tcPr>
          <w:p>
            <w:pPr>
              <w:spacing w:after="0"/>
              <w:rPr>
                <w:sz w:val="21"/>
                <w:szCs w:val="21"/>
                <w:color w:val="auto"/>
              </w:rPr>
            </w:pPr>
          </w:p>
        </w:tc>
        <w:tc>
          <w:tcPr>
            <w:tcW w:w="10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20.9 %</w:t>
            </w:r>
          </w:p>
        </w:tc>
        <w:tc>
          <w:tcPr>
            <w:tcW w:w="74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5741670</wp:posOffset>
            </wp:positionH>
            <wp:positionV relativeFrom="paragraph">
              <wp:posOffset>-1754505</wp:posOffset>
            </wp:positionV>
            <wp:extent cx="111125" cy="1885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11125"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-478790</wp:posOffset>
            </wp:positionV>
            <wp:extent cx="7132320" cy="3340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3340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95059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40"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The tax effect was calculated using an effective tax rate for each item.</w:t>
      </w:r>
    </w:p>
    <w:p>
      <w:pPr>
        <w:spacing w:after="0" w:line="15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Our U.S. GAAP tax rates were 15.4% and 19.9% for the years ended December 31, 2022 and 2021, respectively. The current-year effective tax rate includes a $34 million tax benefit associated with amending the Company’s U.S. federal income tax returns for tax years 2019 and 2020, primarily related to a reduction in the BEAT. The effective tax rate for the year ended December 31, 2021 includes a $250 million estimated tax expense related to the income receipt associated with the termination of our then-proposed combination with Aon, as well as a $40 million tax expense related to the remeasurement of deferred tax assets and liabilities associated with an increase in the U.K. tax rate from 19% to 25%.</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adjusted income tax rates were 20.9% and 20.7% for the years ended December 31, 2022 and 2021,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75"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Free cash flow is defined as cash flows from operating activities less cash used to purchase fixed assets and software for internal use. Free cash flow is a liquidity measure and is not meant to represent residual cash flow available for discretionary expenditures.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believes that free cash flow presents the core operating performance and cash generating capabilities of our business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cash flows from operating activities to free cash flow for the years ended December 31, 2022 and 2021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40" w:type="dxa"/>
            <w:vAlign w:val="bottom"/>
            <w:tcBorders>
              <w:bottom w:val="single" w:sz="8" w:color="auto"/>
            </w:tcBorders>
          </w:tcPr>
          <w:p>
            <w:pPr>
              <w:spacing w:after="0"/>
              <w:rPr>
                <w:sz w:val="16"/>
                <w:szCs w:val="16"/>
                <w:color w:val="auto"/>
              </w:rPr>
            </w:pPr>
          </w:p>
        </w:tc>
      </w:tr>
      <w:tr>
        <w:trPr>
          <w:trHeight w:val="169"/>
        </w:trPr>
        <w:tc>
          <w:tcPr>
            <w:tcW w:w="49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Borders>
              <w:bottom w:val="single" w:sz="8" w:color="auto"/>
            </w:tcBorders>
          </w:tcPr>
          <w:p>
            <w:pPr>
              <w:spacing w:after="0"/>
              <w:rPr>
                <w:sz w:val="14"/>
                <w:szCs w:val="14"/>
                <w:color w:val="auto"/>
              </w:rPr>
            </w:pPr>
          </w:p>
        </w:tc>
      </w:tr>
      <w:tr>
        <w:trPr>
          <w:trHeight w:val="169"/>
        </w:trPr>
        <w:tc>
          <w:tcPr>
            <w:tcW w:w="49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(in</w:t>
            </w:r>
          </w:p>
        </w:tc>
        <w:tc>
          <w:tcPr>
            <w:tcW w:w="1220" w:type="dxa"/>
            <w:vAlign w:val="bottom"/>
            <w:gridSpan w:val="2"/>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w w:val="72"/>
              </w:rPr>
              <w:t>millions)</w:t>
            </w:r>
          </w:p>
        </w:tc>
        <w:tc>
          <w:tcPr>
            <w:tcW w:w="640" w:type="dxa"/>
            <w:vAlign w:val="bottom"/>
          </w:tcPr>
          <w:p>
            <w:pPr>
              <w:spacing w:after="0"/>
              <w:rPr>
                <w:sz w:val="14"/>
                <w:szCs w:val="14"/>
                <w:color w:val="auto"/>
              </w:rPr>
            </w:pPr>
          </w:p>
        </w:tc>
      </w:tr>
      <w:tr>
        <w:trPr>
          <w:trHeight w:val="243"/>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860" w:type="dxa"/>
            <w:vAlign w:val="bottom"/>
            <w:gridSpan w:val="2"/>
            <w:shd w:val="clear" w:color="auto" w:fill="CFF0FC"/>
          </w:tcPr>
          <w:p>
            <w:pPr>
              <w:jc w:val="right"/>
              <w:ind w:right="88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812</w:t>
            </w:r>
          </w:p>
        </w:tc>
        <w:tc>
          <w:tcPr>
            <w:tcW w:w="1220" w:type="dxa"/>
            <w:vAlign w:val="bottom"/>
            <w:gridSpan w:val="2"/>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2,061</w:t>
            </w: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Additions to fixed assets and software for internal use</w:t>
            </w:r>
          </w:p>
        </w:tc>
        <w:tc>
          <w:tcPr>
            <w:tcW w:w="278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8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(148 )</w:t>
            </w:r>
          </w:p>
        </w:tc>
      </w:tr>
      <w:tr>
        <w:trPr>
          <w:trHeight w:val="276"/>
        </w:trPr>
        <w:tc>
          <w:tcPr>
            <w:tcW w:w="4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278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auto"/>
            </w:tcBorders>
            <w:shd w:val="clear" w:color="auto" w:fill="CFF0FC"/>
          </w:tcPr>
          <w:p>
            <w:pPr>
              <w:jc w:val="right"/>
              <w:ind w:right="88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674</w:t>
            </w:r>
          </w:p>
        </w:tc>
        <w:tc>
          <w:tcPr>
            <w:tcW w:w="18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1,913</w:t>
            </w:r>
          </w:p>
        </w:tc>
      </w:tr>
      <w:tr>
        <w:trPr>
          <w:trHeight w:val="628"/>
        </w:trPr>
        <w:tc>
          <w:tcPr>
            <w:tcW w:w="4920" w:type="dxa"/>
            <w:vAlign w:val="bottom"/>
          </w:tcPr>
          <w:p>
            <w:pPr>
              <w:spacing w:after="0"/>
              <w:rPr>
                <w:sz w:val="24"/>
                <w:szCs w:val="24"/>
                <w:color w:val="auto"/>
              </w:rPr>
            </w:pPr>
          </w:p>
        </w:tc>
        <w:tc>
          <w:tcPr>
            <w:tcW w:w="278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61</w:t>
            </w: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15"/>
        </w:trPr>
        <w:tc>
          <w:tcPr>
            <w:tcW w:w="4920" w:type="dxa"/>
            <w:vAlign w:val="bottom"/>
            <w:tcBorders>
              <w:bottom w:val="single" w:sz="8" w:color="9A9A9A"/>
            </w:tcBorders>
          </w:tcPr>
          <w:p>
            <w:pPr>
              <w:spacing w:after="0"/>
              <w:rPr>
                <w:sz w:val="9"/>
                <w:szCs w:val="9"/>
                <w:color w:val="auto"/>
              </w:rPr>
            </w:pPr>
          </w:p>
        </w:tc>
        <w:tc>
          <w:tcPr>
            <w:tcW w:w="27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5955665</wp:posOffset>
            </wp:positionH>
            <wp:positionV relativeFrom="paragraph">
              <wp:posOffset>-521970</wp:posOffset>
            </wp:positionV>
            <wp:extent cx="12001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-504825</wp:posOffset>
            </wp:positionV>
            <wp:extent cx="12001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526" w:right="279" w:bottom="1440" w:gutter="0" w:footer="0" w:header="0"/>
        </w:sectPr>
      </w:pPr>
    </w:p>
    <w:bookmarkStart w:id="63" w:name="page64"/>
    <w:bookmarkEnd w:id="63"/>
    <w:p>
      <w:pPr>
        <w:ind w:right="120"/>
        <w:spacing w:after="0" w:line="265" w:lineRule="auto"/>
        <w:rPr>
          <w:sz w:val="20"/>
          <w:szCs w:val="20"/>
          <w:color w:val="auto"/>
        </w:rPr>
      </w:pPr>
      <w:r>
        <w:rPr>
          <w:rFonts w:ascii="Times New Roman" w:cs="Times New Roman" w:eastAsia="Times New Roman" w:hAnsi="Times New Roman"/>
          <w:sz w:val="18"/>
          <w:szCs w:val="18"/>
          <w:color w:val="auto"/>
        </w:rPr>
        <w:t>The unfavorable movement in free cash flows in the current year was due primarily to the prior-year income receipt of $1 billion related to the termination of the then-proposed Aon transaction, tax payments in 2022 related to this income receipt, and the elimination of Willis Re cash generation following the divestiture.</w:t>
      </w:r>
    </w:p>
    <w:p>
      <w:pPr>
        <w:spacing w:after="0" w:line="17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Additionally, the free cash flow for the prior year presented includes the operating cash flows of Willis Re through December 1, 2021. Willis Re’s operating cash flows approximate its pre-tax income and any adjustments for working capital movements (see Note 3 — Acquisitions and Divestitures within Item 8 of this Annual Report on Form 10-K for further information), the absence of which is expected to be partially made up by reimbursements through the TSA.</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These consolidated financial statements conform to U.S. GAAP, which requires management to make estimates and assumptions that affect the reported amounts of assets and liabilities, disclosures of contingent assets and liabilities at the date of the financial statements and the reported amounts of revenue and expenses during the reporting period. Our estimates, judgments and assumptions are continually evaluated based on available information and experience. Because of the use of estimates inherent in the financial reporting process, actual results could differ from those estimates. The areas that we believe include critical accounting estimates are revenue recognition, costs to fulfill under our broking contracts, valuation of billed and unbilled receivables from clients, income taxes, commitments, contingencies and accrued liabilities, pension assumptions, and goodwill and intangible assets. The critical accounting estimates discussed below involve making difficult, subjective or complex accounting estimates that could have a material effect on our financial condition and results of operations. These critical accounting estimates require us to make assumptions about matters that are highly uncertain at the time of the estimate or assumption. Different estimates that we could have used, or changes in estimates that are reasonably likely to occur, may have a material effect on our results of operations and financial condition.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We use significant estimates related to revenue recognition most commonly during our estimation of the transaction prices or where we recognize revenue over time on a proportional performance basis. A brief description of these policies and estimates is included below:</w:t>
      </w:r>
    </w:p>
    <w:p>
      <w:pPr>
        <w:spacing w:after="0" w:line="10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Estimation of transaction prices </w:t>
      </w:r>
      <w:r>
        <w:rPr>
          <w:rFonts w:ascii="Times New Roman" w:cs="Times New Roman" w:eastAsia="Times New Roman" w:hAnsi="Times New Roman"/>
          <w:sz w:val="18"/>
          <w:szCs w:val="18"/>
          <w:color w:val="auto"/>
        </w:rPr>
        <w:t>— This process occurs most frequently in certain broking transactions. In situations in which our fees are not fixed but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variable, we must estimate the likely commission per policy, taking into account the likelihood of cancellation before the end of the policy. For Medicare broking and Affinity arrangements, the commissions to which we will be entitled can vary based on the underlying individual insurance policies that are placed. For Medicare broking in particular, we base the estimates of transaction prices on supportable evidence from an analysis of past transactions, and only include amounts that are probable of being received or not refunded (referred to as applying ‘constraint’ under ASC 606, </w:t>
      </w:r>
      <w:r>
        <w:rPr>
          <w:rFonts w:ascii="Times New Roman" w:cs="Times New Roman" w:eastAsia="Times New Roman" w:hAnsi="Times New Roman"/>
          <w:sz w:val="18"/>
          <w:szCs w:val="18"/>
          <w:i w:val="1"/>
          <w:iCs w:val="1"/>
          <w:color w:val="auto"/>
        </w:rPr>
        <w:t>Revenue From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Customers</w:t>
      </w:r>
      <w:r>
        <w:rPr>
          <w:rFonts w:ascii="Times New Roman" w:cs="Times New Roman" w:eastAsia="Times New Roman" w:hAnsi="Times New Roman"/>
          <w:sz w:val="18"/>
          <w:szCs w:val="18"/>
          <w:color w:val="auto"/>
        </w:rPr>
        <w:t>). In our direct-to-consumer Medicare broking arrangements, the estimate of the total renewal commissions that will be received over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lifetime of the policy requires significant judgment, and will vary based on product type, estimated commission rates, the expected lives of the respective policies and other factors. The Company has applied an actuarial model to account for these uncertainties, which is updated periodically based on actual experience. Each of these processes result in us estimating a transaction price that may be significantly lower than the ultimate amount of commissions we may collect. The transaction price is then adjusted over time as we receive confirmation of our remuneration through receipt of commissions, or as other information becomes available.</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Proportional performance basis over time recognition </w:t>
      </w:r>
      <w:r>
        <w:rPr>
          <w:rFonts w:ascii="Times New Roman" w:cs="Times New Roman" w:eastAsia="Times New Roman" w:hAnsi="Times New Roman"/>
          <w:sz w:val="18"/>
          <w:szCs w:val="18"/>
          <w:color w:val="auto"/>
        </w:rPr>
        <w:t>— Where we recognize revenue on a proportional performance basis, primarily in our consulting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outsourced administration arrangements, the amount we recognize is affected by a number of factors that can change the estimated amount of work required to complete the project, such as the staffing on the engagement and/or the level of client participation. Our periodic engagement evaluations require us to make judgments and estimates regarding the overall profitability and stages of project completion that, in turn, affect how we recognize revenue. We recognize a loss on an engagement when estimated revenue to be received for that engagement is less than the total estimated costs associated with the engagement. Losses are recognized in the period in which the loss becomes probable and the amount of the loss is reasonably estimable.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to Fulfill —Broking Contracts</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For our broking business, the Company must estimate the fulfillment costs incurred during the pre-placement of the broking contracts. These judgments include the following:</w:t>
      </w:r>
    </w:p>
    <w:p>
      <w:pPr>
        <w:spacing w:after="0" w:line="55" w:lineRule="exact"/>
        <w:rPr>
          <w:sz w:val="20"/>
          <w:szCs w:val="20"/>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activities in the pre-placement process should be eligible for capitalization;</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time and effort expended on those pre-placement activities;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payroll and related costs eligible for capitalization;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monthly or quarterly timing of underlying insurance and reinsurance policy inception dates.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Billed and Unbilled Receivables from Clients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maintain allowances for doubtful accounts to reflect estimated losses resulting from a client’s failure to pay for the services after the services have been rendered, which are recorded in other operating expenses. We also maintain allowances related to our unbilled receivables for such items as expected realization or client disputes, the related provision for which is recorded as a reduction to revenue. Our allowance policy is based in part on the aging of the billed and unbilled client receivables and has been developed based on our write-off history. However, facts and circumstances, such as the average length of time the receivables are past due, general market conditions at the time we perform the work, current economic trends and our clients’ ability to pay, may cause fluctuations in our valuation of billed and unbilled receivables.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for the estimated future tax consequences of events attributable to differences between the financial statement carrying amounts of existing assets and liabilities and their respective tax bases and operating and capital loss and tax credit carryforwards. Deferred tax assets and liabilities are measured using enacted tax rates in effect for the year in which the differences are expected to be recovered or settled. The effect on deferred tax assets and liabilities of changes in tax rates is recognized for continuing operations in the consolidated statement of comprehensive income in the period in which the change is enacted. Deferred tax assets are reduced through the establishment of a valuation allowance at such time as, based on available evidence, it is more likely than not that the deferred tax assets will not be realized. The Company adjusts valuation allowances to measure deferred tax assets at the amounts considered realizable in future periods, which is assessed at each balance sheet date. In making such determinations, the Company considers all available positive and negative evidence, including future reversals of existing taxable temporary differences, projected future taxable income, tax planning strategies and recent financial operating results. We place more reliance on evidence that is objectively verifiable.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Contingencies and Accrued Liabilities</w:t>
      </w:r>
    </w:p>
    <w:p>
      <w:pPr>
        <w:spacing w:after="0" w:line="17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have established provisions against various actual and potential claims, lawsuits and other proceedings relating principally to alleged errors and omissions in connection with the placement of insurance and reinsurance and the provision of consulting services in the ordinary course of business. Such provisions cover claims that have been reported but not paid and also claims that have been incurred but not reported. These provisions are established based on actuarial estimates together with individual case reviews and are believed to be adequate in the light of current information and legal advice. In certain cases, where a range of loss exists, we accrue the minimum amount in the range if no amount within the range is a better estimate than any other amount.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15 — Commitments and Contingencies in Item 8 within this Annual Report on Form 10-K.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Assumptions</w:t>
      </w:r>
    </w:p>
    <w:p>
      <w:pPr>
        <w:spacing w:after="0" w:line="175"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We maintain defined benefit pension plans for employees in several countries, with the most significant defined benefit plans offered in the U.S. and U.K. Our disclosures in Note 13 — Retirement Benefits contain additional information about our other less significant but material retirement plans. Within our critical accounting policy discussion, we have excluded analysis for plans outside of those noted in the description below, as any variance of recorded information based on management’s estimates would be immaterial.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Descriptions of our U.S. and U.K. plans, which comprise 89% of our projected benefit obligations and 92% of our plan assets, are below:</w:t>
      </w:r>
    </w:p>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United States</w:t>
      </w:r>
    </w:p>
    <w:p>
      <w:pPr>
        <w:spacing w:after="0" w:line="173" w:lineRule="exact"/>
        <w:rPr>
          <w:sz w:val="20"/>
          <w:szCs w:val="20"/>
          <w:color w:val="auto"/>
        </w:rPr>
      </w:pPr>
    </w:p>
    <w:p>
      <w:pPr>
        <w:ind w:left="760" w:right="20"/>
        <w:spacing w:after="0" w:line="281" w:lineRule="auto"/>
        <w:rPr>
          <w:sz w:val="20"/>
          <w:szCs w:val="20"/>
          <w:color w:val="auto"/>
        </w:rPr>
      </w:pPr>
      <w:r>
        <w:rPr>
          <w:rFonts w:ascii="Times New Roman" w:cs="Times New Roman" w:eastAsia="Times New Roman" w:hAnsi="Times New Roman"/>
          <w:sz w:val="18"/>
          <w:szCs w:val="18"/>
          <w:u w:val="single" w:color="auto"/>
          <w:color w:val="auto"/>
        </w:rPr>
        <w:t>Legacy Willis</w:t>
      </w:r>
      <w:r>
        <w:rPr>
          <w:rFonts w:ascii="Times New Roman" w:cs="Times New Roman" w:eastAsia="Times New Roman" w:hAnsi="Times New Roman"/>
          <w:sz w:val="18"/>
          <w:szCs w:val="18"/>
          <w:color w:val="auto"/>
        </w:rPr>
        <w:t xml:space="preserve"> – This plan was frozen in 2009. Approximately 600 WTW employees in the United States have a frozen accrued benefit under this plan.</w:t>
      </w:r>
    </w:p>
    <w:p>
      <w:pPr>
        <w:spacing w:after="0" w:line="109" w:lineRule="exact"/>
        <w:rPr>
          <w:sz w:val="20"/>
          <w:szCs w:val="20"/>
          <w:color w:val="auto"/>
        </w:rPr>
      </w:pPr>
    </w:p>
    <w:p>
      <w:pPr>
        <w:ind w:left="760" w:right="100"/>
        <w:spacing w:after="0" w:line="260" w:lineRule="auto"/>
        <w:rPr>
          <w:sz w:val="20"/>
          <w:szCs w:val="20"/>
          <w:color w:val="auto"/>
        </w:rPr>
      </w:pPr>
      <w:r>
        <w:rPr>
          <w:rFonts w:ascii="Times New Roman" w:cs="Times New Roman" w:eastAsia="Times New Roman" w:hAnsi="Times New Roman"/>
          <w:sz w:val="18"/>
          <w:szCs w:val="18"/>
          <w:u w:val="single" w:color="auto"/>
          <w:color w:val="auto"/>
        </w:rPr>
        <w:t>WTW Plan</w:t>
      </w:r>
      <w:r>
        <w:rPr>
          <w:rFonts w:ascii="Times New Roman" w:cs="Times New Roman" w:eastAsia="Times New Roman" w:hAnsi="Times New Roman"/>
          <w:sz w:val="18"/>
          <w:szCs w:val="18"/>
          <w:color w:val="auto"/>
        </w:rPr>
        <w:t xml:space="preserve"> – Substantially all U.S. employees are eligible to participate in this plan. Benefits are provided under a stable value pension plan design. The original stable value design came into effect on January 1, 2012. Plan participants prior to July 1, 2017 earn benefits without having to make employee contributions, and all newly-eligible employees after that date are required to contribute 2% of pay on an after-tax basis to participate in the plan.</w:t>
      </w:r>
    </w:p>
    <w:p>
      <w:pPr>
        <w:spacing w:after="0" w:line="1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United Kingdom</w:t>
      </w:r>
    </w:p>
    <w:p>
      <w:pPr>
        <w:spacing w:after="0" w:line="173" w:lineRule="exact"/>
        <w:rPr>
          <w:sz w:val="20"/>
          <w:szCs w:val="20"/>
          <w:color w:val="auto"/>
        </w:rPr>
      </w:pPr>
    </w:p>
    <w:p>
      <w:pPr>
        <w:ind w:left="760" w:right="20"/>
        <w:spacing w:after="0" w:line="281" w:lineRule="auto"/>
        <w:rPr>
          <w:sz w:val="20"/>
          <w:szCs w:val="20"/>
          <w:color w:val="auto"/>
        </w:rPr>
      </w:pPr>
      <w:r>
        <w:rPr>
          <w:rFonts w:ascii="Times New Roman" w:cs="Times New Roman" w:eastAsia="Times New Roman" w:hAnsi="Times New Roman"/>
          <w:sz w:val="18"/>
          <w:szCs w:val="18"/>
          <w:u w:val="single" w:color="auto"/>
          <w:color w:val="auto"/>
        </w:rPr>
        <w:t>Legacy Willis</w:t>
      </w:r>
      <w:r>
        <w:rPr>
          <w:rFonts w:ascii="Times New Roman" w:cs="Times New Roman" w:eastAsia="Times New Roman" w:hAnsi="Times New Roman"/>
          <w:sz w:val="18"/>
          <w:szCs w:val="18"/>
          <w:color w:val="auto"/>
        </w:rPr>
        <w:t xml:space="preserve"> – This plan covers approximately one-fifth of the Legacy Willis employees in the United Kingdom. The plan is now closed to new entrants. New employees in the United Kingdom are offered the opportunity to join a defined contribution plan.</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bookmarkStart w:id="65" w:name="page66"/>
    <w:bookmarkEnd w:id="65"/>
    <w:p>
      <w:pPr>
        <w:ind w:left="760" w:right="160"/>
        <w:spacing w:after="0" w:line="260" w:lineRule="auto"/>
        <w:rPr>
          <w:sz w:val="20"/>
          <w:szCs w:val="20"/>
          <w:color w:val="auto"/>
        </w:rPr>
      </w:pPr>
      <w:r>
        <w:rPr>
          <w:rFonts w:ascii="Times New Roman" w:cs="Times New Roman" w:eastAsia="Times New Roman" w:hAnsi="Times New Roman"/>
          <w:sz w:val="18"/>
          <w:szCs w:val="18"/>
          <w:u w:val="single" w:color="auto"/>
          <w:color w:val="auto"/>
        </w:rPr>
        <w:t>Legacy Towers Watson</w:t>
      </w:r>
      <w:r>
        <w:rPr>
          <w:rFonts w:ascii="Times New Roman" w:cs="Times New Roman" w:eastAsia="Times New Roman" w:hAnsi="Times New Roman"/>
          <w:sz w:val="18"/>
          <w:szCs w:val="18"/>
          <w:color w:val="auto"/>
        </w:rPr>
        <w:t xml:space="preserve"> – Benefit accruals earned under the Legacy Watson Wyatt defined benefit plan (predominantly pension benefits) ceased on February 28, 2015, although benefits earned prior to January 1, 2008 retain a link to salary until the employee leaves the Company. Benefit accruals earned under the legacy Towers Perrin defined benefit plan (predominantly lump sum benefits) were frozen on March 31, 2008. All participants now accrue defined contribution benefits.</w:t>
      </w:r>
    </w:p>
    <w:p>
      <w:pPr>
        <w:spacing w:after="0" w:line="12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determination of the Company’s obligations and annual expense under the plans is based on a number of assumptions that, given the longevity of the plans, are long-term in focus. A change in one or a combination of these assumptions could have a material impact on our projected benefit obligation. However, certain of these changes, such as changes in the discount rates and other actuarial assumptions, are not recognized immediately in net income, but are instead recorded in other comprehensive income. The accumulated gains and losses not yet recognized in net income are amortized into net income as a component of the net periodic benefit cost/(income) over the average remaining service period or average remaining life expectancy, as appropriate, of the plan’s participants to the extent that the net gains or losses as of the beginning of the year exceed 10% of the greater of the market-related value of plan assets or the projected benefit obligation.</w:t>
      </w:r>
    </w:p>
    <w:p>
      <w:pPr>
        <w:spacing w:after="0" w:line="13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WTW considers several factors prior to the start of each fiscal year when determining the appropriate annual assumptions, including economic forecasts, relevant benchmarks, historical trends, portfolio composition and peer company comparisons. These assumptions, used to determine our pension liabilities and pension expense, are reviewed annually by senior management and changed when appropriate. A discount rate will be changed annually if underlying rates have moved, whereas an expected long-term return on assets will be changed less frequently as longer-term trends in asset returns emerge or long-term target asset allocations are revised. To calculate the discount rate, we use the granular approach to determining service cost and interest cost. The expected rate of return assumptions for all plans are supported by an analysis of the weighted-average yield expected to be achieved with the anticipated makeup of investments. We have allowed for actual and known inflation in preparing our estimates. Other material assumptions include rates of participant mortality, and the expected long-term rates of compensation and pension increases.</w:t>
      </w:r>
    </w:p>
    <w:p>
      <w:pPr>
        <w:spacing w:after="0" w:line="135"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Funding is based on actuarially determined contributions and is limited to amounts that are currently deductible for tax purposes, or as agreed to with the plan trustees for the U.K. plans. Since funding calculations are based on different measurements than those used for accounting purposes, pension contributions are not equal to net periodic benefit cost.</w:t>
      </w:r>
    </w:p>
    <w:p>
      <w:pPr>
        <w:spacing w:after="0" w:line="123"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We recorded a combined $161 million net periodic benefit income for our U.S. and U.K. plans for the year ended December 31, 2022. For the U.S. and U.K. plans, the following table presents our estimated net periodic benefit income for 2023 and the impact to both plans of a 0.25% increase and decrease to both the expected return on assets (‘EROA’) and the discount rate assumptions; and the projected benefit obligations as of December 31, 2022 and the impact of a 0.25% increase and decrease to the discount rates: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Totals -</w:t>
            </w:r>
          </w:p>
        </w:tc>
        <w:tc>
          <w:tcPr>
            <w:tcW w:w="2240" w:type="dxa"/>
            <w:vAlign w:val="bottom"/>
            <w:gridSpan w:val="4"/>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Impact of 0.25% change to</w:t>
            </w:r>
          </w:p>
        </w:tc>
        <w:tc>
          <w:tcPr>
            <w:tcW w:w="260" w:type="dxa"/>
            <w:vAlign w:val="bottom"/>
          </w:tcPr>
          <w:p>
            <w:pPr>
              <w:spacing w:after="0"/>
              <w:rPr>
                <w:sz w:val="13"/>
                <w:szCs w:val="13"/>
                <w:color w:val="auto"/>
              </w:rPr>
            </w:pPr>
          </w:p>
        </w:tc>
        <w:tc>
          <w:tcPr>
            <w:tcW w:w="2420" w:type="dxa"/>
            <w:vAlign w:val="bottom"/>
            <w:gridSpan w:val="4"/>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Impact of 0.25% change to</w:t>
            </w:r>
          </w:p>
        </w:tc>
      </w:tr>
      <w:tr>
        <w:trPr>
          <w:trHeight w:val="187"/>
        </w:trPr>
        <w:tc>
          <w:tcPr>
            <w:tcW w:w="4720" w:type="dxa"/>
            <w:vAlign w:val="bottom"/>
          </w:tcPr>
          <w:p>
            <w:pPr>
              <w:spacing w:after="0"/>
              <w:rPr>
                <w:sz w:val="16"/>
                <w:szCs w:val="16"/>
                <w:color w:val="auto"/>
              </w:rPr>
            </w:pPr>
          </w:p>
        </w:tc>
        <w:tc>
          <w:tcPr>
            <w:tcW w:w="160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current estimates</w:t>
            </w: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EROA</w:t>
            </w: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20" w:type="dxa"/>
            <w:vAlign w:val="bottom"/>
            <w:gridSpan w:val="4"/>
          </w:tcPr>
          <w:p>
            <w:pPr>
              <w:jc w:val="right"/>
              <w:ind w:right="874"/>
              <w:spacing w:after="0"/>
              <w:rPr>
                <w:sz w:val="20"/>
                <w:szCs w:val="20"/>
                <w:color w:val="auto"/>
              </w:rPr>
            </w:pPr>
            <w:r>
              <w:rPr>
                <w:rFonts w:ascii="Times New Roman" w:cs="Times New Roman" w:eastAsia="Times New Roman" w:hAnsi="Times New Roman"/>
                <w:sz w:val="14"/>
                <w:szCs w:val="14"/>
                <w:b w:val="1"/>
                <w:bCs w:val="1"/>
                <w:color w:val="auto"/>
              </w:rPr>
              <w:t>discount rate</w:t>
            </w:r>
          </w:p>
        </w:tc>
      </w:tr>
      <w:tr>
        <w:trPr>
          <w:trHeight w:val="169"/>
        </w:trPr>
        <w:tc>
          <w:tcPr>
            <w:tcW w:w="47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4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236"/>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Estimated 2023 (income):</w:t>
            </w: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r>
      <w:tr>
        <w:trPr>
          <w:trHeight w:val="238"/>
        </w:trPr>
        <w:tc>
          <w:tcPr>
            <w:tcW w:w="4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Plans</w:t>
            </w:r>
          </w:p>
        </w:tc>
        <w:tc>
          <w:tcPr>
            <w:tcW w:w="2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(41 )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47"/>
        </w:trPr>
        <w:tc>
          <w:tcPr>
            <w:tcW w:w="4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U.K. Plans</w:t>
            </w:r>
          </w:p>
        </w:tc>
        <w:tc>
          <w:tcPr>
            <w:tcW w:w="260" w:type="dxa"/>
            <w:vAlign w:val="bottom"/>
            <w:shd w:val="clear" w:color="auto" w:fill="CFF0FC"/>
          </w:tcPr>
          <w:p>
            <w:pPr>
              <w:spacing w:after="0"/>
              <w:rPr>
                <w:sz w:val="21"/>
                <w:szCs w:val="21"/>
                <w:color w:val="auto"/>
              </w:rPr>
            </w:pPr>
          </w:p>
        </w:tc>
        <w:tc>
          <w:tcPr>
            <w:tcW w:w="13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nil  $</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(1 ) $</w:t>
            </w: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r>
      <w:tr>
        <w:trPr>
          <w:trHeight w:val="238"/>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at December 31, 2022:</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7"/>
        </w:trPr>
        <w:tc>
          <w:tcPr>
            <w:tcW w:w="4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Plans</w:t>
            </w:r>
          </w:p>
        </w:tc>
        <w:tc>
          <w:tcPr>
            <w:tcW w:w="2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3,871</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(96 ) $</w:t>
            </w: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4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U.K. Plans</w:t>
            </w:r>
          </w:p>
        </w:tc>
        <w:tc>
          <w:tcPr>
            <w:tcW w:w="2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2,435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(78 ) $</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84</w:t>
            </w:r>
          </w:p>
        </w:tc>
      </w:tr>
    </w:tbl>
    <w:p>
      <w:pPr>
        <w:spacing w:after="0" w:line="152" w:lineRule="exact"/>
        <w:rPr>
          <w:sz w:val="20"/>
          <w:szCs w:val="20"/>
          <w:color w:val="auto"/>
        </w:rPr>
      </w:pPr>
    </w:p>
    <w:p>
      <w:pPr>
        <w:ind w:right="60"/>
        <w:spacing w:after="0" w:line="437" w:lineRule="auto"/>
        <w:rPr>
          <w:sz w:val="20"/>
          <w:szCs w:val="20"/>
          <w:color w:val="auto"/>
        </w:rPr>
      </w:pPr>
      <w:r>
        <w:rPr>
          <w:rFonts w:ascii="Times New Roman" w:cs="Times New Roman" w:eastAsia="Times New Roman" w:hAnsi="Times New Roman"/>
          <w:sz w:val="18"/>
          <w:szCs w:val="18"/>
          <w:color w:val="auto"/>
        </w:rPr>
        <w:t xml:space="preserve">Economic factors and conditions often affect multiple assumptions simultaneously, and the effects of changes in key assumptions are not necessarily linear. </w:t>
      </w:r>
      <w:r>
        <w:rPr>
          <w:rFonts w:ascii="Times New Roman" w:cs="Times New Roman" w:eastAsia="Times New Roman" w:hAnsi="Times New Roman"/>
          <w:sz w:val="18"/>
          <w:szCs w:val="18"/>
          <w:b w:val="1"/>
          <w:bCs w:val="1"/>
          <w:i w:val="1"/>
          <w:iCs w:val="1"/>
          <w:color w:val="auto"/>
        </w:rPr>
        <w:t>Goodwill and Intangible Assets — Impairment Review</w:t>
      </w:r>
    </w:p>
    <w:p>
      <w:pPr>
        <w:spacing w:after="0" w:line="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applying the acquisition method of accounting for business combinations, amounts assigned to identifiable assets and liabilities acquired were based on estimated fair values as of the date of acquisition, with the remainder recorded as goodwill. Intangible assets are initially valued at fair value using generally accepted valuation methods appropriate for the type of intangible asset. Intangible assets with definite lives are amortized over their estimated useful lives and are reviewed for impairment if indicators of impairment arise. Intangible assets with indefinite lives are tested for impairment annually as of October 1, and whenever indicators of impairment arise. The fair value of the intangible assets is compared with their carrying value and an impairment loss would be recognized for the amount by which the carrying amount exceeds the fair value. Goodwill is tested for impairment annually as of October 1, and whenever indicators of impairment arise.</w:t>
      </w:r>
    </w:p>
    <w:p>
      <w:pPr>
        <w:spacing w:after="0" w:line="133"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color w:val="auto"/>
        </w:rPr>
        <w:t>Goodwill is tested at the reporting unit level, and the Company had seven reporting units as of October 1, 2022. During fiscal year 2022, the Company performed the impairment test for all reporting units. Each of the reporting unit’s estimated fair values were in excess of their carrying values, and we did not record any impairment losses of goodwill.</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66" w:name="page67"/>
    <w:bookmarkEnd w:id="66"/>
    <w:p>
      <w:pPr>
        <w:ind w:right="460"/>
        <w:spacing w:after="0" w:line="281" w:lineRule="auto"/>
        <w:rPr>
          <w:sz w:val="20"/>
          <w:szCs w:val="20"/>
          <w:color w:val="auto"/>
        </w:rPr>
      </w:pPr>
      <w:r>
        <w:rPr>
          <w:rFonts w:ascii="Times New Roman" w:cs="Times New Roman" w:eastAsia="Times New Roman" w:hAnsi="Times New Roman"/>
          <w:sz w:val="18"/>
          <w:szCs w:val="18"/>
          <w:color w:val="auto"/>
        </w:rPr>
        <w:t>To perform the test, we used valuation techniques to estimate the fair value of a reporting unit that are under the income and/or market approaches of valuation methods:</w:t>
      </w:r>
    </w:p>
    <w:p>
      <w:pPr>
        <w:spacing w:after="0" w:line="107" w:lineRule="exact"/>
        <w:rPr>
          <w:sz w:val="20"/>
          <w:szCs w:val="20"/>
          <w:color w:val="auto"/>
        </w:rPr>
      </w:pPr>
    </w:p>
    <w:p>
      <w:pPr>
        <w:ind w:left="760" w:right="20" w:hanging="378"/>
        <w:spacing w:after="0" w:line="261"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Discounted cash flow method </w:t>
      </w:r>
      <w:r>
        <w:rPr>
          <w:rFonts w:ascii="Times New Roman" w:cs="Times New Roman" w:eastAsia="Times New Roman" w:hAnsi="Times New Roman"/>
          <w:sz w:val="18"/>
          <w:szCs w:val="18"/>
          <w:color w:val="auto"/>
        </w:rPr>
        <w:t>— Under the discounted cash flow method, an income approach, the business enterprise value is determined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discounting to present value the terminal value which is calculated using debt-free after-tax cash flows for a finite period of years. Key estimates in this approach were internal financial projection estimates prepared by management, assessment of business risk, and expected rates of return on capital.</w:t>
      </w:r>
    </w:p>
    <w:p>
      <w:pPr>
        <w:spacing w:after="0" w:line="122" w:lineRule="exact"/>
        <w:rPr>
          <w:rFonts w:ascii="Times New Roman" w:cs="Times New Roman" w:eastAsia="Times New Roman" w:hAnsi="Times New Roman"/>
          <w:sz w:val="18"/>
          <w:szCs w:val="18"/>
          <w:color w:val="auto"/>
        </w:rPr>
      </w:pPr>
    </w:p>
    <w:p>
      <w:pPr>
        <w:ind w:left="760" w:hanging="378"/>
        <w:spacing w:after="0" w:line="26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Guideline public company method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guideline public company method, a market approach, develops valuation multiples by comparing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units to similar publicly traded companies. Key estimates and determination of valuation multiples rely on the selection of similar companies, obtaining forecast revenue and EBITDA estimates for the similar companies and selection of valuation multiples as they apply to the reporting unit characteristics.</w:t>
      </w:r>
    </w:p>
    <w:p>
      <w:pPr>
        <w:spacing w:after="0" w:line="120" w:lineRule="exact"/>
        <w:rPr>
          <w:rFonts w:ascii="Times New Roman" w:cs="Times New Roman" w:eastAsia="Times New Roman" w:hAnsi="Times New Roman"/>
          <w:sz w:val="18"/>
          <w:szCs w:val="18"/>
          <w:color w:val="auto"/>
        </w:rPr>
      </w:pPr>
    </w:p>
    <w:p>
      <w:pPr>
        <w:ind w:left="760" w:right="80" w:hanging="378"/>
        <w:spacing w:after="0" w:line="268"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Guideline transaction method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guideline transactions method, a market approach, actual transaction prices and operating data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deemed reasonably similar to the reporting units are used to develop valuation multiples as an indication of how much a knowledgeable investor in the marketplace would be willing to pay for the business units.</w:t>
      </w:r>
    </w:p>
    <w:p>
      <w:pPr>
        <w:spacing w:after="0" w:line="1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26" w:right="399" w:bottom="1440" w:gutter="0" w:footer="0" w:header="0"/>
        </w:sectPr>
      </w:pPr>
    </w:p>
    <w:bookmarkStart w:id="67" w:name="page68"/>
    <w:bookmarkEnd w:id="67"/>
    <w:p>
      <w:pPr>
        <w:ind w:right="3940"/>
        <w:spacing w:after="0" w:line="440" w:lineRule="auto"/>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 Financial Risk Management</w:t>
      </w:r>
    </w:p>
    <w:p>
      <w:pPr>
        <w:ind w:right="220"/>
        <w:spacing w:after="0" w:line="281" w:lineRule="auto"/>
        <w:rPr>
          <w:sz w:val="20"/>
          <w:szCs w:val="20"/>
          <w:color w:val="auto"/>
        </w:rPr>
      </w:pPr>
      <w:r>
        <w:rPr>
          <w:rFonts w:ascii="Times New Roman" w:cs="Times New Roman" w:eastAsia="Times New Roman" w:hAnsi="Times New Roman"/>
          <w:sz w:val="18"/>
          <w:szCs w:val="18"/>
          <w:color w:val="auto"/>
        </w:rPr>
        <w:t>We are exposed to market risk from changes in foreign currency exchange rates. In order to manage the risk arising from these exposures, we enter into a variety of foreign currency derivatives. We do not hold financial or derivative instruments for trading purposes.</w:t>
      </w:r>
    </w:p>
    <w:p>
      <w:pPr>
        <w:spacing w:after="0" w:line="109" w:lineRule="exact"/>
        <w:rPr>
          <w:sz w:val="20"/>
          <w:szCs w:val="20"/>
          <w:color w:val="auto"/>
        </w:rPr>
      </w:pPr>
    </w:p>
    <w:p>
      <w:pPr>
        <w:jc w:val="both"/>
        <w:ind w:right="400"/>
        <w:spacing w:after="0" w:line="312" w:lineRule="auto"/>
        <w:rPr>
          <w:sz w:val="20"/>
          <w:szCs w:val="20"/>
          <w:color w:val="auto"/>
        </w:rPr>
      </w:pPr>
      <w:r>
        <w:rPr>
          <w:rFonts w:ascii="Times New Roman" w:cs="Times New Roman" w:eastAsia="Times New Roman" w:hAnsi="Times New Roman"/>
          <w:sz w:val="17"/>
          <w:szCs w:val="17"/>
          <w:color w:val="auto"/>
        </w:rPr>
        <w:t>A discussion of our accounting policies for financial and derivative instruments is included in Note 2 — Basis of Presentation, Significant Accounting Policies and Recent Accounting Pronouncements and Note 10 — Derivative Financial Instruments within Item 8 of this Annual Report on Form 10-K.</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Because of the large number of countries and currencies we operate in, movements in currency exchange rates may affect our results.</w:t>
      </w:r>
    </w:p>
    <w:p>
      <w:pPr>
        <w:spacing w:after="0" w:line="171"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We report our operating results and financial condition in U.S. dollars. Our U.S. operations earn revenue and incur expenses primarily in U.S. dollars. Outside the U.S., we predominantly generate revenue and expenses in the local currency with the exception of our London market operations which earn revenue in several currencies but incur expenses predominantly in Pounds sterling.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gives an approximate analysis of revenue and expenses from continuing operations by currency in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Pounds</w:t>
            </w:r>
          </w:p>
        </w:tc>
        <w:tc>
          <w:tcPr>
            <w:tcW w:w="140" w:type="dxa"/>
            <w:vAlign w:val="bottom"/>
          </w:tcPr>
          <w:p>
            <w:pPr>
              <w:spacing w:after="0"/>
              <w:rPr>
                <w:sz w:val="13"/>
                <w:szCs w:val="13"/>
                <w:color w:val="auto"/>
              </w:rPr>
            </w:pPr>
          </w:p>
        </w:tc>
        <w:tc>
          <w:tcPr>
            <w:tcW w:w="12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Euro</w:t>
            </w:r>
          </w:p>
        </w:tc>
        <w:tc>
          <w:tcPr>
            <w:tcW w:w="12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87"/>
        </w:trPr>
        <w:tc>
          <w:tcPr>
            <w:tcW w:w="580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4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sterling</w:t>
            </w:r>
          </w:p>
        </w:tc>
        <w:tc>
          <w:tcPr>
            <w:tcW w:w="14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currencies</w:t>
            </w:r>
          </w:p>
        </w:tc>
        <w:tc>
          <w:tcPr>
            <w:tcW w:w="0" w:type="dxa"/>
            <w:vAlign w:val="bottom"/>
          </w:tcPr>
          <w:p>
            <w:pPr>
              <w:spacing w:after="0"/>
              <w:rPr>
                <w:sz w:val="1"/>
                <w:szCs w:val="1"/>
                <w:color w:val="auto"/>
              </w:rPr>
            </w:pPr>
          </w:p>
        </w:tc>
      </w:tr>
      <w:tr>
        <w:trPr>
          <w:trHeight w:val="23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FF0FC"/>
          </w:tcPr>
          <w:p>
            <w:pPr>
              <w:spacing w:after="0"/>
              <w:rPr>
                <w:sz w:val="20"/>
                <w:szCs w:val="20"/>
                <w:color w:val="auto"/>
              </w:rPr>
            </w:pP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c>
          <w:tcPr>
            <w:tcW w:w="140" w:type="dxa"/>
            <w:vAlign w:val="bottom"/>
            <w:shd w:val="clear" w:color="auto" w:fill="CFF0FC"/>
          </w:tcPr>
          <w:p>
            <w:pPr>
              <w:spacing w:after="0"/>
              <w:rPr>
                <w:sz w:val="20"/>
                <w:szCs w:val="20"/>
                <w:color w:val="auto"/>
              </w:rPr>
            </w:pPr>
          </w:p>
        </w:tc>
        <w:tc>
          <w:tcPr>
            <w:tcW w:w="12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4"/>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Expenses </w:t>
            </w:r>
            <w:r>
              <w:rPr>
                <w:rFonts w:ascii="Times New Roman" w:cs="Times New Roman" w:eastAsia="Times New Roman" w:hAnsi="Times New Roman"/>
                <w:sz w:val="8"/>
                <w:szCs w:val="8"/>
                <w:color w:val="auto"/>
              </w:rPr>
              <w:t>(i)</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w:t>
            </w:r>
          </w:p>
        </w:tc>
        <w:tc>
          <w:tcPr>
            <w:tcW w:w="14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6"/>
              </w:rPr>
              <w:t>17%</w:t>
            </w:r>
          </w:p>
        </w:tc>
        <w:tc>
          <w:tcPr>
            <w:tcW w:w="14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12%</w:t>
            </w:r>
          </w:p>
        </w:tc>
        <w:tc>
          <w:tcPr>
            <w:tcW w:w="13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95059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95" w:lineRule="exact"/>
        <w:rPr>
          <w:sz w:val="20"/>
          <w:szCs w:val="20"/>
          <w:color w:val="auto"/>
        </w:rPr>
      </w:pPr>
    </w:p>
    <w:p>
      <w:pPr>
        <w:ind w:left="280" w:right="100" w:hanging="272"/>
        <w:spacing w:after="0" w:line="258" w:lineRule="auto"/>
        <w:tabs>
          <w:tab w:leader="none" w:pos="2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percentages exclude certain expenses for significant items which will not be settled in cash, or which we believe to be items that are not core to our current or future operations. These items include amortization of intangible assets and transaction and transformation, net.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exposures to foreign exchange risk arise from:</w:t>
      </w:r>
    </w:p>
    <w:p>
      <w:pPr>
        <w:spacing w:after="0" w:line="117" w:lineRule="exact"/>
        <w:rPr>
          <w:sz w:val="20"/>
          <w:szCs w:val="20"/>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London market operations;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lending between subsidiaries;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translation.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London market operations</w:t>
      </w:r>
    </w:p>
    <w:p>
      <w:pPr>
        <w:spacing w:after="0" w:line="17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 Company’s primary foreign exchange risks in its London market operations arise from changes in the exchange rate between the U.S. dollar and Pound sterling as its London market operations earn the majority of its revenue in U.S. dollars but incur expenses predominantly in Pounds sterling and may also hold significant foreign currency asset or liability positions on its consolidated balance sheet. In addition, the London market operations earn significant revenue in Euro and Japanese yen.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foreign exchange risks in our London market operations are hedged to the extent that:</w:t>
      </w:r>
    </w:p>
    <w:p>
      <w:pPr>
        <w:spacing w:after="0" w:line="117" w:lineRule="exact"/>
        <w:rPr>
          <w:sz w:val="20"/>
          <w:szCs w:val="20"/>
          <w:color w:val="auto"/>
        </w:rPr>
      </w:pPr>
    </w:p>
    <w:p>
      <w:pPr>
        <w:ind w:left="760" w:right="40" w:hanging="378"/>
        <w:spacing w:after="0" w:line="288" w:lineRule="auto"/>
        <w:tabs>
          <w:tab w:leader="none" w:pos="7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forecasted Pounds sterling expenses exceed Pounds sterling revenue, in which case the Company limits its exposure to this exchange rate risk by the use of forward contracts matched to a portion of the forecasted Pounds sterling outflows arising in the ordinary course of business. In addition, we are also exposed to foreign exchange risk on any net Pounds sterling asset or liability position in our London market operations; and</w:t>
      </w:r>
    </w:p>
    <w:p>
      <w:pPr>
        <w:spacing w:after="0" w:line="51" w:lineRule="exact"/>
        <w:rPr>
          <w:rFonts w:ascii="Times New Roman" w:cs="Times New Roman" w:eastAsia="Times New Roman" w:hAnsi="Times New Roman"/>
          <w:sz w:val="17"/>
          <w:szCs w:val="17"/>
          <w:color w:val="auto"/>
        </w:rPr>
      </w:pPr>
    </w:p>
    <w:p>
      <w:pPr>
        <w:jc w:val="both"/>
        <w:ind w:left="760" w:right="220" w:hanging="378"/>
        <w:spacing w:after="0" w:line="265"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U.K. operations also earn significant revenue in Euro and Japanese yen. The Company limits its exposure to changes in the exchange rates between the U.S. dollar and these currencies by the use of foreign exchange contracts matched to a proportion of forecast cash inflows in these specific currencies and periods.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Intercompany lending between subsidiaries</w:t>
      </w:r>
    </w:p>
    <w:p>
      <w:pPr>
        <w:spacing w:after="0" w:line="175"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The Company engages in intercompany borrowing and lending between subsidiaries, primarily through its in-house banking operations which give rise to foreign exchange exposures. The Company mitigates these risks through the use of short-term foreign currency forward and swap transactions that offset the underlying exposure created when the borrower and lender have different functional currencies. These derivatives are not generally designated as hedging instruments and at December 31, 2022, we had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8" w:name="page69"/>
    <w:bookmarkEnd w:id="68"/>
    <w:p>
      <w:pPr>
        <w:ind w:right="400"/>
        <w:spacing w:after="0" w:line="281" w:lineRule="auto"/>
        <w:rPr>
          <w:sz w:val="20"/>
          <w:szCs w:val="20"/>
          <w:color w:val="auto"/>
        </w:rPr>
      </w:pPr>
      <w:r>
        <w:rPr>
          <w:rFonts w:ascii="Times New Roman" w:cs="Times New Roman" w:eastAsia="Times New Roman" w:hAnsi="Times New Roman"/>
          <w:sz w:val="18"/>
          <w:szCs w:val="18"/>
          <w:color w:val="auto"/>
        </w:rPr>
        <w:t>notional amounts of $1.7 billion (denominated primarily in U.S. dollars, Pound sterling, Euro and Australian dollars), with a net asset fair value of $24 million. Such derivatives typically mature within three months.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Translation risk</w:t>
      </w:r>
    </w:p>
    <w:p>
      <w:pPr>
        <w:spacing w:after="0" w:line="175"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Outside our U.S. and London market operations, we predominantly earn revenue and incur expenses in the local currency. When we translate the results and net assets of these operations into U.S. dollars for reporting purposes, movements in exchange rates will affect reported results and net assets. For example, if the U.S. dollar strengthens against the Euro, the reported results of our Eurozone operations in U.S. dollar terms will be lower.</w:t>
      </w:r>
    </w:p>
    <w:p>
      <w:pPr>
        <w:spacing w:after="0" w:line="10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The table below provides information about our foreign currency forward exchange contracts which are designated as hedging instruments and are sensitive to exchange rate risk. The table summarizes the U.S. dollar equivalent amounts of each currency bought and sold forward and the weighted-average contractual exchange rates. All forward exchange contracts mature within two years.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Settlement date before December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jc w:val="center"/>
              <w:ind w:right="41"/>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restart"/>
          </w:tcPr>
          <w:p>
            <w:pPr>
              <w:jc w:val="center"/>
              <w:ind w:left="159"/>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3"/>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10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48"/>
        </w:trPr>
        <w:tc>
          <w:tcPr>
            <w:tcW w:w="5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9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10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0" w:type="dxa"/>
            <w:vAlign w:val="bottom"/>
          </w:tcPr>
          <w:p>
            <w:pPr>
              <w:spacing w:after="0"/>
              <w:rPr>
                <w:sz w:val="1"/>
                <w:szCs w:val="1"/>
                <w:color w:val="auto"/>
              </w:rPr>
            </w:pPr>
          </w:p>
        </w:tc>
      </w:tr>
      <w:tr>
        <w:trPr>
          <w:trHeight w:val="187"/>
        </w:trPr>
        <w:tc>
          <w:tcPr>
            <w:tcW w:w="5600" w:type="dxa"/>
            <w:vAlign w:val="bottom"/>
            <w:gridSpan w:val="2"/>
            <w:vMerge w:val="continue"/>
          </w:tcPr>
          <w:p>
            <w:pPr>
              <w:spacing w:after="0"/>
              <w:rPr>
                <w:sz w:val="16"/>
                <w:szCs w:val="16"/>
                <w:color w:val="auto"/>
              </w:rPr>
            </w:pPr>
          </w:p>
        </w:tc>
        <w:tc>
          <w:tcPr>
            <w:tcW w:w="960" w:type="dxa"/>
            <w:vAlign w:val="bottom"/>
          </w:tcPr>
          <w:p>
            <w:pPr>
              <w:jc w:val="center"/>
              <w:ind w:left="1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169"/>
        </w:trPr>
        <w:tc>
          <w:tcPr>
            <w:tcW w:w="54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Borders>
              <w:top w:val="single" w:sz="8" w:color="auto"/>
            </w:tcBorders>
          </w:tcPr>
          <w:p>
            <w:pPr>
              <w:jc w:val="center"/>
              <w:ind w:left="179"/>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sold</w:t>
            </w:r>
          </w:p>
        </w:tc>
        <w:tc>
          <w:tcPr>
            <w:tcW w:w="9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dollars sold for Pounds</w:t>
            </w: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sterling</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 = £1</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 = £1</w:t>
            </w:r>
          </w:p>
        </w:tc>
        <w:tc>
          <w:tcPr>
            <w:tcW w:w="0" w:type="dxa"/>
            <w:vAlign w:val="bottom"/>
          </w:tcPr>
          <w:p>
            <w:pPr>
              <w:spacing w:after="0"/>
              <w:rPr>
                <w:sz w:val="1"/>
                <w:szCs w:val="1"/>
                <w:color w:val="auto"/>
              </w:rPr>
            </w:pPr>
          </w:p>
        </w:tc>
      </w:tr>
      <w:tr>
        <w:trPr>
          <w:trHeight w:val="249"/>
        </w:trPr>
        <w:tc>
          <w:tcPr>
            <w:tcW w:w="5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Euros sold for U.S. dollars</w:t>
            </w:r>
          </w:p>
        </w:tc>
        <w:tc>
          <w:tcPr>
            <w:tcW w:w="96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 $1.11</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 $1.03</w:t>
            </w:r>
          </w:p>
        </w:tc>
        <w:tc>
          <w:tcPr>
            <w:tcW w:w="0" w:type="dxa"/>
            <w:vAlign w:val="bottom"/>
          </w:tcPr>
          <w:p>
            <w:pPr>
              <w:spacing w:after="0"/>
              <w:rPr>
                <w:sz w:val="1"/>
                <w:szCs w:val="1"/>
                <w:color w:val="auto"/>
              </w:rPr>
            </w:pPr>
          </w:p>
        </w:tc>
      </w:tr>
      <w:tr>
        <w:trPr>
          <w:trHeight w:val="211"/>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Japanese yen sold for U.S.</w:t>
            </w:r>
          </w:p>
        </w:tc>
        <w:tc>
          <w:tcPr>
            <w:tcW w:w="960" w:type="dxa"/>
            <w:vAlign w:val="bottom"/>
          </w:tcPr>
          <w:p>
            <w:pPr>
              <w:spacing w:after="0"/>
              <w:rPr>
                <w:sz w:val="18"/>
                <w:szCs w:val="18"/>
                <w:color w:val="auto"/>
              </w:rPr>
            </w:pPr>
          </w:p>
        </w:tc>
        <w:tc>
          <w:tcPr>
            <w:tcW w:w="36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vMerge w:val="restart"/>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dollars</w:t>
            </w:r>
          </w:p>
        </w:tc>
        <w:tc>
          <w:tcPr>
            <w:tcW w:w="960" w:type="dxa"/>
            <w:vAlign w:val="bottom"/>
          </w:tcPr>
          <w:p>
            <w:pPr>
              <w:spacing w:after="0"/>
              <w:rPr>
                <w:sz w:val="20"/>
                <w:szCs w:val="20"/>
                <w:color w:val="auto"/>
              </w:rPr>
            </w:pPr>
          </w:p>
        </w:tc>
        <w:tc>
          <w:tcPr>
            <w:tcW w:w="3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¥122.34= $1</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3"/>
            <w:vMerge w:val="continue"/>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¥127.18= $1</w:t>
            </w:r>
          </w:p>
        </w:tc>
        <w:tc>
          <w:tcPr>
            <w:tcW w:w="0" w:type="dxa"/>
            <w:vAlign w:val="bottom"/>
          </w:tcPr>
          <w:p>
            <w:pPr>
              <w:spacing w:after="0"/>
              <w:rPr>
                <w:sz w:val="1"/>
                <w:szCs w:val="1"/>
                <w:color w:val="auto"/>
              </w:rPr>
            </w:pPr>
          </w:p>
        </w:tc>
      </w:tr>
      <w:tr>
        <w:trPr>
          <w:trHeight w:val="272"/>
        </w:trPr>
        <w:tc>
          <w:tcPr>
            <w:tcW w:w="56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top w:val="single" w:sz="8" w:color="auto"/>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5600" w:type="dxa"/>
            <w:vAlign w:val="bottom"/>
            <w:gridSpan w:val="2"/>
          </w:tcPr>
          <w:p>
            <w:pPr>
              <w:ind w:left="20"/>
              <w:spacing w:after="0" w:line="227" w:lineRule="exact"/>
              <w:rPr>
                <w:sz w:val="20"/>
                <w:szCs w:val="20"/>
                <w:color w:val="auto"/>
              </w:rPr>
            </w:pPr>
            <w:r>
              <w:rPr>
                <w:rFonts w:ascii="Times New Roman" w:cs="Times New Roman" w:eastAsia="Times New Roman" w:hAnsi="Times New Roman"/>
                <w:sz w:val="18"/>
                <w:szCs w:val="18"/>
                <w:color w:val="auto"/>
              </w:rPr>
              <w:t xml:space="preserve">Fair value </w:t>
            </w:r>
            <w:r>
              <w:rPr>
                <w:rFonts w:ascii="Times New Roman" w:cs="Times New Roman" w:eastAsia="Times New Roman" w:hAnsi="Times New Roman"/>
                <w:sz w:val="24"/>
                <w:szCs w:val="24"/>
                <w:color w:val="auto"/>
                <w:vertAlign w:val="superscript"/>
              </w:rPr>
              <w:t>(i)</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-205105</wp:posOffset>
            </wp:positionV>
            <wp:extent cx="1917700" cy="2057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91770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95059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87" w:lineRule="exact"/>
        <w:rPr>
          <w:sz w:val="20"/>
          <w:szCs w:val="20"/>
          <w:color w:val="auto"/>
        </w:rPr>
      </w:pPr>
    </w:p>
    <w:p>
      <w:pPr>
        <w:ind w:left="280" w:right="40" w:hanging="272"/>
        <w:spacing w:after="0" w:line="258" w:lineRule="auto"/>
        <w:tabs>
          <w:tab w:leader="none" w:pos="2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difference between the contract amount and the cash flow in U.S. dollars which would have been receivable had the foreign currency forward exchange contracts been entered into on December 31, 2022 at the forward exchange rates prevailing at that date.</w:t>
      </w:r>
    </w:p>
    <w:p>
      <w:pPr>
        <w:spacing w:after="0" w:line="117"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Income earned within foreign subsidiaries outside of the U.K. is generally offset by expenses in the same local currency, however the Company does have exposure to foreign exchange movements on the net income of these entities.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5"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The Company has access to $1.5 billion under a revolving credit facility (see Note 11 — Debt within Item 8 of this Annual Report on Form 10-K for further information). As of December 31, 2022, no amount was drawn on this facility. We are also subject to market risk from exposure to changes in interest rates based on our investing activities where our primary interest rate risk arises from changes in short-term interest rates in U.S. dollars, Pounds sterling and Euros.</w:t>
      </w:r>
    </w:p>
    <w:p>
      <w:pPr>
        <w:spacing w:after="0" w:line="128"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The table below provides information about our financial instruments that are sensitive to changes in interest rates. The Company had no outstanding floating rate-based debt at December 31, 2022.</w:t>
      </w:r>
    </w:p>
    <w:p>
      <w:pPr>
        <w:spacing w:after="0" w:line="15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Expected to mature before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15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90"/>
              <w:spacing w:after="0" w:line="12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08"/>
        </w:trPr>
        <w:tc>
          <w:tcPr>
            <w:tcW w:w="150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vMerge w:val="restart"/>
          </w:tcPr>
          <w:p>
            <w:pPr>
              <w:jc w:val="right"/>
              <w:ind w:right="256"/>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vMerge w:val="restart"/>
          </w:tcPr>
          <w:p>
            <w:pPr>
              <w:jc w:val="right"/>
              <w:ind w:right="276"/>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vMerge w:val="restart"/>
          </w:tcPr>
          <w:p>
            <w:pPr>
              <w:jc w:val="right"/>
              <w:ind w:right="236"/>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vMerge w:val="restart"/>
          </w:tcPr>
          <w:p>
            <w:pPr>
              <w:jc w:val="right"/>
              <w:ind w:right="259"/>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vMerge w:val="restart"/>
          </w:tcPr>
          <w:p>
            <w:pPr>
              <w:jc w:val="right"/>
              <w:ind w:right="236"/>
              <w:spacing w:after="0" w:line="149" w:lineRule="exact"/>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9"/>
                <w:szCs w:val="9"/>
                <w:color w:val="auto"/>
              </w:rPr>
            </w:pPr>
          </w:p>
        </w:tc>
        <w:tc>
          <w:tcPr>
            <w:tcW w:w="920" w:type="dxa"/>
            <w:vAlign w:val="bottom"/>
            <w:gridSpan w:val="2"/>
            <w:vMerge w:val="restart"/>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Thereafter</w:t>
            </w:r>
          </w:p>
        </w:tc>
        <w:tc>
          <w:tcPr>
            <w:tcW w:w="10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9"/>
                <w:szCs w:val="9"/>
                <w:color w:val="auto"/>
              </w:rPr>
            </w:pPr>
          </w:p>
        </w:tc>
        <w:tc>
          <w:tcPr>
            <w:tcW w:w="800" w:type="dxa"/>
            <w:vAlign w:val="bottom"/>
          </w:tcPr>
          <w:p>
            <w:pPr>
              <w:jc w:val="center"/>
              <w:ind w:right="50"/>
              <w:spacing w:after="0" w:line="108" w:lineRule="exact"/>
              <w:rPr>
                <w:sz w:val="20"/>
                <w:szCs w:val="20"/>
                <w:color w:val="auto"/>
              </w:rPr>
            </w:pPr>
            <w:r>
              <w:rPr>
                <w:rFonts w:ascii="Times New Roman" w:cs="Times New Roman" w:eastAsia="Times New Roman" w:hAnsi="Times New Roman"/>
                <w:sz w:val="10"/>
                <w:szCs w:val="10"/>
                <w:b w:val="1"/>
                <w:bCs w:val="1"/>
                <w:color w:val="auto"/>
                <w:w w:val="84"/>
              </w:rPr>
              <w:t>(i)</w:t>
            </w:r>
          </w:p>
        </w:tc>
        <w:tc>
          <w:tcPr>
            <w:tcW w:w="0" w:type="dxa"/>
            <w:vAlign w:val="bottom"/>
          </w:tcPr>
          <w:p>
            <w:pPr>
              <w:spacing w:after="0"/>
              <w:rPr>
                <w:sz w:val="1"/>
                <w:szCs w:val="1"/>
                <w:color w:val="auto"/>
              </w:rPr>
            </w:pPr>
          </w:p>
        </w:tc>
      </w:tr>
      <w:tr>
        <w:trPr>
          <w:trHeight w:val="40"/>
        </w:trPr>
        <w:tc>
          <w:tcPr>
            <w:tcW w:w="15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Borders>
              <w:bottom w:val="single" w:sz="8" w:color="auto"/>
            </w:tcBorders>
            <w:gridSpan w:val="2"/>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5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 in</w:t>
            </w:r>
          </w:p>
        </w:tc>
        <w:tc>
          <w:tcPr>
            <w:tcW w:w="920" w:type="dxa"/>
            <w:vAlign w:val="bottom"/>
            <w:gridSpan w:val="3"/>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w w:val="72"/>
              </w:rPr>
              <w:t>millions)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Fixed rate debt</w:t>
            </w: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Principal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550</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2,550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4,750</w:t>
            </w:r>
          </w:p>
        </w:tc>
        <w:tc>
          <w:tcPr>
            <w:tcW w:w="100" w:type="dxa"/>
            <w:vAlign w:val="bottom"/>
          </w:tcPr>
          <w:p>
            <w:pPr>
              <w:spacing w:after="0"/>
              <w:rPr>
                <w:sz w:val="20"/>
                <w:szCs w:val="20"/>
                <w:color w:val="auto"/>
              </w:rPr>
            </w:pPr>
          </w:p>
        </w:tc>
        <w:tc>
          <w:tcPr>
            <w:tcW w:w="8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  4,317</w:t>
            </w:r>
          </w:p>
        </w:tc>
        <w:tc>
          <w:tcPr>
            <w:tcW w:w="0" w:type="dxa"/>
            <w:vAlign w:val="bottom"/>
          </w:tcPr>
          <w:p>
            <w:pPr>
              <w:spacing w:after="0"/>
              <w:rPr>
                <w:sz w:val="1"/>
                <w:szCs w:val="1"/>
                <w:color w:val="auto"/>
              </w:rPr>
            </w:pPr>
          </w:p>
        </w:tc>
      </w:tr>
      <w:tr>
        <w:trPr>
          <w:trHeight w:val="247"/>
        </w:trPr>
        <w:tc>
          <w:tcPr>
            <w:tcW w:w="37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Fixed rate payable</w:t>
            </w:r>
          </w:p>
        </w:tc>
        <w:tc>
          <w:tcPr>
            <w:tcW w:w="18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4.625 %</w:t>
            </w:r>
          </w:p>
        </w:tc>
        <w:tc>
          <w:tcPr>
            <w:tcW w:w="16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3.600 %</w:t>
            </w: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4.400 %</w:t>
            </w:r>
          </w:p>
        </w:tc>
        <w:tc>
          <w:tcPr>
            <w:tcW w:w="16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4.650 %</w:t>
            </w:r>
          </w:p>
        </w:tc>
        <w:tc>
          <w:tcPr>
            <w:tcW w:w="240" w:type="dxa"/>
            <w:vAlign w:val="bottom"/>
            <w:shd w:val="clear" w:color="auto" w:fill="CFF0FC"/>
          </w:tcPr>
          <w:p>
            <w:pPr>
              <w:spacing w:after="0"/>
              <w:rPr>
                <w:sz w:val="21"/>
                <w:szCs w:val="21"/>
                <w:color w:val="auto"/>
              </w:rPr>
            </w:pPr>
          </w:p>
        </w:tc>
        <w:tc>
          <w:tcPr>
            <w:tcW w:w="7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9"/>
              </w:rPr>
              <w:t>4.186 %</w:t>
            </w:r>
          </w:p>
        </w:tc>
        <w:tc>
          <w:tcPr>
            <w:tcW w:w="160" w:type="dxa"/>
            <w:vAlign w:val="bottom"/>
            <w:shd w:val="clear" w:color="auto" w:fill="CFF0FC"/>
          </w:tcPr>
          <w:p>
            <w:pPr>
              <w:spacing w:after="0"/>
              <w:rPr>
                <w:sz w:val="21"/>
                <w:szCs w:val="21"/>
                <w:color w:val="auto"/>
              </w:rPr>
            </w:pPr>
          </w:p>
        </w:tc>
        <w:tc>
          <w:tcPr>
            <w:tcW w:w="7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9"/>
              </w:rPr>
              <w:t>4.227 %</w:t>
            </w:r>
          </w:p>
        </w:tc>
        <w:tc>
          <w:tcPr>
            <w:tcW w:w="8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1500" w:type="dxa"/>
            <w:vAlign w:val="bottom"/>
            <w:tcBorders>
              <w:bottom w:val="single" w:sz="8" w:color="auto"/>
            </w:tcBorders>
          </w:tcPr>
          <w:p>
            <w:pPr>
              <w:spacing w:after="0"/>
              <w:rPr>
                <w:sz w:val="11"/>
                <w:szCs w:val="11"/>
                <w:color w:val="auto"/>
              </w:rPr>
            </w:pPr>
          </w:p>
        </w:tc>
        <w:tc>
          <w:tcPr>
            <w:tcW w:w="2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Represents the net present value of the expected cash flows discounted at current market rates of interest or quoted market rates as appropriate.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 on Fiduciary Funds</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are exposed to interest rate risk. Specifically, as a result of our operating activities, we receive cash for premiums and claims which we deposit in high-quality bank term deposit and money market funds where permitted. We earn interest on these funds, which is included in our consolidated financial statements as interest income. These funds are regulated in terms of access and the instruments in which they may be invested, most of which are short-term in maturity. As a result of measures taken by central banks around the world, rates offered on these investments have increased, in some cases significantly over the course of the year. As a result, interest income has improved substantially this year, with the greatest impact having been recognized in the second half of</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69" w:name="page70"/>
    <w:bookmarkEnd w:id="69"/>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2022. Interest income in the future will be a function of the short-term rates we are able to obtain by currency and the cash balances available to invest in these instruments. Interest income was $55 million, $12 million and $18 million for the years ended December 31, 2022, 2021 and 2020, respectively. At December 31, 2022, we held $2.2 billion of fiduciary funds invested in interest-bearing accounts. If short-term interest rates increased or decreased by 25 basis points, interest earned on these invested fiduciary funds, and therefore our interest income recognized, would increase or decrease by approximately $5 million on an annualized basis.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 and Concentrations of Credit Risk</w:t>
      </w:r>
    </w:p>
    <w:p>
      <w:pPr>
        <w:spacing w:after="0" w:line="175"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8"/>
          <w:szCs w:val="18"/>
          <w:color w:val="auto"/>
        </w:rPr>
        <w:t>Credit risk represents the loss that would be recognized at the reporting date if counterparties failed to perform as contracted. The Company currently does not anticipate non-performance by its counterparties. The Company generally does not require collateral or other security to support financial instruments with credit risk.</w:t>
      </w:r>
    </w:p>
    <w:p>
      <w:pPr>
        <w:spacing w:after="0" w:line="12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Concentrations of credit risk that arise from financial instruments exist for groups of customers or counterparties when they have similar economic characteristics that would cause their ability to meet contractual obligations to be similarly affected by changes in economic or other conditions. Financial instruments on the balance sheet that potentially subject the Company to concentrations of credit risk consist primarily of cash and cash equivalents, fiduciary funds, accounts receivable and derivatives which are recorded at fair value.</w:t>
      </w:r>
    </w:p>
    <w:p>
      <w:pPr>
        <w:spacing w:after="0" w:line="12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The Company maintains a policy of providing for the diversification of cash and cash equivalent investments and places such investments in an extensive number of financial institutions to limit the amount of credit risk exposure. These financial institutions are monitored on an ongoing basis for credit quality predominantly using information provided by credit agencies.</w:t>
      </w:r>
    </w:p>
    <w:p>
      <w:pPr>
        <w:spacing w:after="0" w:line="12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Concentrations of credit risk with respect to receivables are limited due to the large number of clients and markets in which the Company does business, as well as the dispersion across many geographic areas. Management does not believe that significant risk exists in connection with the Company’s concentrations of credit as of December 31, 2022.</w:t>
      </w:r>
    </w:p>
    <w:p>
      <w:pPr>
        <w:spacing w:after="0" w:line="1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26" w:right="4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WILLIS TOWERS WATSON PUBLIC LIMITED COMPANY</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INDEX TO FORM 10-K</w:t>
      </w:r>
    </w:p>
    <w:p>
      <w:pPr>
        <w:spacing w:after="0" w:line="21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For the year ended December 31, 2022</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Report of Independent Registered Public Accounting Firm (PCAOB ID: 34)</w:t>
            </w:r>
          </w:p>
        </w:tc>
        <w:tc>
          <w:tcPr>
            <w:tcW w:w="5340" w:type="dxa"/>
            <w:vAlign w:val="bottom"/>
            <w:gridSpan w:val="4"/>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81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Consolidated Statements of Comprehensive Income for each of the three years in the period ended December 31, 2022</w:t>
            </w:r>
          </w:p>
        </w:tc>
        <w:tc>
          <w:tcPr>
            <w:tcW w:w="24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4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Consolidated Balance Sheets as of December 31, 2022 and 2021</w:t>
            </w:r>
          </w:p>
        </w:tc>
        <w:tc>
          <w:tcPr>
            <w:tcW w:w="20" w:type="dxa"/>
            <w:vAlign w:val="bottom"/>
            <w:tcBorders>
              <w:bottom w:val="single" w:sz="8" w:color="0000EE"/>
            </w:tcBorders>
          </w:tcPr>
          <w:p>
            <w:pPr>
              <w:spacing w:after="0"/>
              <w:rPr>
                <w:sz w:val="22"/>
                <w:szCs w:val="22"/>
                <w:color w:val="auto"/>
              </w:rPr>
            </w:pPr>
          </w:p>
        </w:tc>
        <w:tc>
          <w:tcPr>
            <w:tcW w:w="6120" w:type="dxa"/>
            <w:vAlign w:val="bottom"/>
            <w:gridSpan w:val="5"/>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105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Consolidated Statements of Cash Flows for each of the three years in the period ended December 31, 2022</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4060" w:type="dxa"/>
            <w:vAlign w:val="bottom"/>
            <w:tcBorders>
              <w:right w:val="single" w:sz="8" w:color="0000EE"/>
            </w:tcBorders>
            <w:gridSpan w:val="4"/>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105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Consolidated Statements of Changes in Equity for each of the three years in the period ended December 31, 2022</w:t>
            </w:r>
          </w:p>
        </w:tc>
        <w:tc>
          <w:tcPr>
            <w:tcW w:w="6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77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Notes to the Consolidated Financial Statements</w:t>
            </w:r>
          </w:p>
        </w:tc>
        <w:tc>
          <w:tcPr>
            <w:tcW w:w="2820" w:type="dxa"/>
            <w:vAlign w:val="bottom"/>
            <w:gridSpan w:val="2"/>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681"/>
        </w:trPr>
        <w:tc>
          <w:tcPr>
            <w:tcW w:w="40" w:type="dxa"/>
            <w:vAlign w:val="bottom"/>
          </w:tcPr>
          <w:p>
            <w:pPr>
              <w:spacing w:after="0"/>
              <w:rPr>
                <w:sz w:val="24"/>
                <w:szCs w:val="24"/>
                <w:color w:val="auto"/>
              </w:rPr>
            </w:pPr>
          </w:p>
        </w:tc>
        <w:tc>
          <w:tcPr>
            <w:tcW w:w="3240" w:type="dxa"/>
            <w:vAlign w:val="bottom"/>
            <w:tcBorders>
              <w:top w:val="single" w:sz="8" w:color="0000FF"/>
            </w:tcBorders>
          </w:tcPr>
          <w:p>
            <w:pPr>
              <w:spacing w:after="0"/>
              <w:rPr>
                <w:sz w:val="24"/>
                <w:szCs w:val="24"/>
                <w:color w:val="auto"/>
              </w:rPr>
            </w:pPr>
          </w:p>
        </w:tc>
        <w:tc>
          <w:tcPr>
            <w:tcW w:w="4060" w:type="dxa"/>
            <w:vAlign w:val="bottom"/>
            <w:gridSpan w:val="4"/>
          </w:tcPr>
          <w:p>
            <w:pPr>
              <w:jc w:val="right"/>
              <w:ind w:right="1620"/>
              <w:spacing w:after="0"/>
              <w:rPr>
                <w:sz w:val="20"/>
                <w:szCs w:val="20"/>
                <w:color w:val="auto"/>
              </w:rPr>
            </w:pPr>
            <w:r>
              <w:rPr>
                <w:rFonts w:ascii="Times New Roman" w:cs="Times New Roman" w:eastAsia="Times New Roman" w:hAnsi="Times New Roman"/>
                <w:sz w:val="18"/>
                <w:szCs w:val="18"/>
                <w:color w:val="auto"/>
              </w:rPr>
              <w:t>69</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9"/>
                <w:szCs w:val="9"/>
                <w:color w:val="auto"/>
              </w:rPr>
            </w:pPr>
          </w:p>
        </w:tc>
        <w:tc>
          <w:tcPr>
            <w:tcW w:w="32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4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Shareholders and the Board of Directors of Willis Towers Watson Public Limited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Willis Towers Watson Public Limited Company and subsidiaries (the ‘Company’) as of December 31, 2022 and 2021, the related consolidated statements of comprehensive income, changes in equity and cash flows, for the three years then ended,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the three years then ended, in conformity with accounting principles generally accepted in the United States of America (‘US GAAP’).</w:t>
      </w:r>
    </w:p>
    <w:p>
      <w:pPr>
        <w:spacing w:after="0" w:line="12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24, 2023, expressed an unqualified opinion on the Company’s internal control over financial reporting.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4" w:lineRule="exact"/>
        <w:rPr>
          <w:sz w:val="20"/>
          <w:szCs w:val="20"/>
          <w:color w:val="auto"/>
        </w:rPr>
      </w:pPr>
    </w:p>
    <w:p>
      <w:pPr>
        <w:ind w:right="4660"/>
        <w:spacing w:after="0" w:line="440"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Errors and Omissions Reserve — Refer to Notes 2, 15 and 16 to the financial statements </w:t>
      </w:r>
      <w:r>
        <w:rPr>
          <w:rFonts w:ascii="Times New Roman" w:cs="Times New Roman" w:eastAsia="Times New Roman" w:hAnsi="Times New Roman"/>
          <w:sz w:val="18"/>
          <w:szCs w:val="18"/>
          <w:i w:val="1"/>
          <w:iCs w:val="1"/>
          <w:color w:val="auto"/>
        </w:rPr>
        <w:t>Critical Audit Matter Description</w:t>
      </w: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has established provisions against various actual and potential claims, lawsuits and other proceedings relating principally to alleged errors and omissions (‘E&amp;O’) which arise in connection with the placement of insurance and reinsurance and provision of broking, consulting and outsourcing services in the ordinary course of business. Such provisions cover claims that have been reported but not paid and also claims that have been incurred but not reported (‘IBNR’). These provisions are established based on actuarial estimates together with individual case reviews. Significant management judgment is required to estimate the amounts of such claims.</w:t>
      </w:r>
    </w:p>
    <w:p>
      <w:pPr>
        <w:spacing w:after="0" w:line="12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Auditing management’s judgments related to its E&amp;O provision, and in particular the broking, consulting and outsourcing business provisions related to the IBNR, and the provisions related to significant claims reported but not paid, involved especially complex and subjective judgment and an increased extent of effort, including the need to involve our actuarial specialists.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7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We tested the effectiveness of controls over the Company’s estimation of the E&amp;O provisions, including controls over the underlying historical claims data, the actuarial methodology used, the assumptions selected by management that are used to calculate the broking,</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72" w:name="page73"/>
    <w:bookmarkEnd w:id="72"/>
    <w:p>
      <w:pPr>
        <w:ind w:right="640"/>
        <w:spacing w:after="0" w:line="281" w:lineRule="auto"/>
        <w:rPr>
          <w:sz w:val="20"/>
          <w:szCs w:val="20"/>
          <w:color w:val="auto"/>
        </w:rPr>
      </w:pPr>
      <w:r>
        <w:rPr>
          <w:rFonts w:ascii="Times New Roman" w:cs="Times New Roman" w:eastAsia="Times New Roman" w:hAnsi="Times New Roman"/>
          <w:sz w:val="18"/>
          <w:szCs w:val="18"/>
          <w:color w:val="auto"/>
        </w:rPr>
        <w:t>consulting and outsourcing business IBNR provisions, and the establishment and quarterly evaluation of provisions for reported claims, including significant claims.</w:t>
      </w:r>
    </w:p>
    <w:p>
      <w:pPr>
        <w:spacing w:after="0" w:line="1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IBNR provisions, we evaluated the appropriateness of the IBNR models, and evaluated the consistency of the model with prior years in order to challenge the methodology used to estimate the provisions. With the assistance of our actuarial specialists, we assessed the methodology and models used, including key inputs and assumptions used in, and arithmetical accuracy of, the models used. We also performed retrospective reviews of management’s estimated claims emergence in comparison to actual results and evaluated the provisions set by management in comparison to a range of independent estimates that we developed.</w:t>
      </w:r>
    </w:p>
    <w:p>
      <w:pPr>
        <w:spacing w:after="0" w:line="12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We evaluated the E&amp;O matters and the appropriateness of their projected settlement values through inquiries of, and confirmations from, in-house counsel and external lawyers handling those matters for the Company.</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Deloitte &amp; Touche LLP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2023</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26" w:right="45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except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69"/>
        </w:trPr>
        <w:tc>
          <w:tcPr>
            <w:tcW w:w="716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6"/>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720" w:type="dxa"/>
            <w:vAlign w:val="bottom"/>
            <w:shd w:val="clear" w:color="auto" w:fill="CFF0FC"/>
          </w:tcPr>
          <w:p>
            <w:pPr>
              <w:jc w:val="right"/>
              <w:ind w:right="53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w w:val="93"/>
              </w:rPr>
              <w:t>8,866</w:t>
            </w: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8,998</w:t>
            </w: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8,615</w:t>
            </w:r>
          </w:p>
        </w:tc>
      </w:tr>
      <w:tr>
        <w:trPr>
          <w:trHeight w:val="238"/>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of providing services</w:t>
            </w: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7"/>
        </w:trPr>
        <w:tc>
          <w:tcPr>
            <w:tcW w:w="7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Salaries and benefits</w:t>
            </w:r>
          </w:p>
        </w:tc>
        <w:tc>
          <w:tcPr>
            <w:tcW w:w="72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w w:val="93"/>
              </w:rPr>
              <w:t>5,065</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5,253</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5,157</w:t>
            </w:r>
          </w:p>
        </w:tc>
      </w:tr>
      <w:tr>
        <w:trPr>
          <w:trHeight w:val="238"/>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720" w:type="dxa"/>
            <w:vAlign w:val="bottom"/>
          </w:tcPr>
          <w:p>
            <w:pPr>
              <w:spacing w:after="0"/>
              <w:rPr>
                <w:sz w:val="20"/>
                <w:szCs w:val="20"/>
                <w:color w:val="auto"/>
              </w:rPr>
            </w:pPr>
          </w:p>
        </w:tc>
        <w:tc>
          <w:tcPr>
            <w:tcW w:w="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93"/>
              </w:rPr>
              <w:t>1,776</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1,673</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1,697</w:t>
            </w:r>
          </w:p>
        </w:tc>
      </w:tr>
      <w:tr>
        <w:trPr>
          <w:trHeight w:val="247"/>
        </w:trPr>
        <w:tc>
          <w:tcPr>
            <w:tcW w:w="7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72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255</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281</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307</w:t>
            </w:r>
          </w:p>
        </w:tc>
      </w:tr>
      <w:tr>
        <w:trPr>
          <w:trHeight w:val="238"/>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720" w:type="dxa"/>
            <w:vAlign w:val="bottom"/>
          </w:tcPr>
          <w:p>
            <w:pPr>
              <w:spacing w:after="0"/>
              <w:rPr>
                <w:sz w:val="20"/>
                <w:szCs w:val="20"/>
                <w:color w:val="auto"/>
              </w:rPr>
            </w:pPr>
          </w:p>
        </w:tc>
        <w:tc>
          <w:tcPr>
            <w:tcW w:w="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369</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461</w:t>
            </w:r>
          </w:p>
        </w:tc>
      </w:tr>
      <w:tr>
        <w:trPr>
          <w:trHeight w:val="247"/>
        </w:trPr>
        <w:tc>
          <w:tcPr>
            <w:tcW w:w="7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72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w:t>
            </w:r>
          </w:p>
        </w:tc>
      </w:tr>
      <w:tr>
        <w:trPr>
          <w:trHeight w:val="238"/>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and transformation, net</w:t>
            </w:r>
          </w:p>
        </w:tc>
        <w:tc>
          <w:tcPr>
            <w:tcW w:w="7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181</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(806 )</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110</w:t>
            </w:r>
          </w:p>
        </w:tc>
      </w:tr>
      <w:tr>
        <w:trPr>
          <w:trHeight w:val="236"/>
        </w:trPr>
        <w:tc>
          <w:tcPr>
            <w:tcW w:w="71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costs of providing services</w:t>
            </w:r>
          </w:p>
        </w:tc>
        <w:tc>
          <w:tcPr>
            <w:tcW w:w="72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w w:val="93"/>
              </w:rPr>
              <w:t>7,688</w:t>
            </w:r>
          </w:p>
        </w:tc>
        <w:tc>
          <w:tcPr>
            <w:tcW w:w="1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6,796</w:t>
            </w: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7,756</w:t>
            </w:r>
          </w:p>
        </w:tc>
      </w:tr>
      <w:tr>
        <w:trPr>
          <w:trHeight w:val="236"/>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720" w:type="dxa"/>
            <w:vAlign w:val="bottom"/>
          </w:tcPr>
          <w:p>
            <w:pPr>
              <w:spacing w:after="0"/>
              <w:rPr>
                <w:sz w:val="20"/>
                <w:szCs w:val="20"/>
                <w:color w:val="auto"/>
              </w:rPr>
            </w:pPr>
          </w:p>
        </w:tc>
        <w:tc>
          <w:tcPr>
            <w:tcW w:w="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93"/>
              </w:rPr>
              <w:t>1,178</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2,202</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859</w:t>
            </w:r>
          </w:p>
        </w:tc>
      </w:tr>
      <w:tr>
        <w:trPr>
          <w:trHeight w:val="247"/>
        </w:trPr>
        <w:tc>
          <w:tcPr>
            <w:tcW w:w="7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7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(244 )</w:t>
            </w:r>
          </w:p>
        </w:tc>
      </w:tr>
      <w:tr>
        <w:trPr>
          <w:trHeight w:val="238"/>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7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288</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701</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396</w:t>
            </w:r>
          </w:p>
        </w:tc>
      </w:tr>
      <w:tr>
        <w:trPr>
          <w:trHeight w:val="240"/>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72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w w:val="93"/>
              </w:rPr>
              <w:t>1,258</w:t>
            </w: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2,692</w:t>
            </w: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1,011</w:t>
            </w:r>
          </w:p>
        </w:tc>
      </w:tr>
      <w:tr>
        <w:trPr>
          <w:trHeight w:val="238"/>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(536 )</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(249 )</w:t>
            </w:r>
          </w:p>
        </w:tc>
      </w:tr>
      <w:tr>
        <w:trPr>
          <w:trHeight w:val="240"/>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72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w w:val="93"/>
              </w:rPr>
              <w:t>1,064</w:t>
            </w: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2,156</w:t>
            </w: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762</w:t>
            </w:r>
          </w:p>
        </w:tc>
      </w:tr>
      <w:tr>
        <w:trPr>
          <w:trHeight w:val="24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(LOSS)/INCOME FROM DISCONTINUED OPERATIONS, NET OF TAX</w:t>
            </w:r>
          </w:p>
        </w:tc>
        <w:tc>
          <w:tcPr>
            <w:tcW w:w="7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2,080</w:t>
            </w: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258</w:t>
            </w:r>
          </w:p>
        </w:tc>
      </w:tr>
      <w:tr>
        <w:trPr>
          <w:trHeight w:val="236"/>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w w:val="93"/>
              </w:rPr>
              <w:t>1,024</w:t>
            </w: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4,236</w:t>
            </w: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1,020</w:t>
            </w:r>
          </w:p>
        </w:tc>
      </w:tr>
      <w:tr>
        <w:trPr>
          <w:trHeight w:val="238"/>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attributable to non-controlling interests</w:t>
            </w:r>
          </w:p>
        </w:tc>
        <w:tc>
          <w:tcPr>
            <w:tcW w:w="7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76"/>
        </w:trPr>
        <w:tc>
          <w:tcPr>
            <w:tcW w:w="7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WTW</w:t>
            </w:r>
          </w:p>
        </w:tc>
        <w:tc>
          <w:tcPr>
            <w:tcW w:w="720" w:type="dxa"/>
            <w:vAlign w:val="bottom"/>
            <w:tcBorders>
              <w:bottom w:val="single" w:sz="8" w:color="auto"/>
            </w:tcBorders>
            <w:shd w:val="clear" w:color="auto" w:fill="CFF0FC"/>
          </w:tcPr>
          <w:p>
            <w:pPr>
              <w:jc w:val="right"/>
              <w:ind w:right="53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w w:val="93"/>
              </w:rPr>
              <w:t>1,009</w:t>
            </w:r>
          </w:p>
        </w:tc>
        <w:tc>
          <w:tcPr>
            <w:tcW w:w="1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4,222</w:t>
            </w:r>
          </w:p>
        </w:tc>
        <w:tc>
          <w:tcPr>
            <w:tcW w:w="1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996</w:t>
            </w:r>
          </w:p>
        </w:tc>
      </w:tr>
      <w:tr>
        <w:trPr>
          <w:trHeight w:val="21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9"/>
        </w:trPr>
        <w:tc>
          <w:tcPr>
            <w:tcW w:w="7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43"/>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7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r>
      <w:tr>
        <w:trPr>
          <w:trHeight w:val="238"/>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from continuing operations per share</w:t>
            </w:r>
          </w:p>
        </w:tc>
        <w:tc>
          <w:tcPr>
            <w:tcW w:w="7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9.36</w:t>
            </w:r>
          </w:p>
        </w:tc>
        <w:tc>
          <w:tcPr>
            <w:tcW w:w="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16.68</w:t>
            </w:r>
          </w:p>
        </w:tc>
        <w:tc>
          <w:tcPr>
            <w:tcW w:w="1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5.69</w:t>
            </w:r>
          </w:p>
        </w:tc>
      </w:tr>
      <w:tr>
        <w:trPr>
          <w:trHeight w:val="247"/>
        </w:trPr>
        <w:tc>
          <w:tcPr>
            <w:tcW w:w="7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(Loss)/income from discontinued operations per share</w:t>
            </w:r>
          </w:p>
        </w:tc>
        <w:tc>
          <w:tcPr>
            <w:tcW w:w="72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(0.36 )</w:t>
            </w:r>
          </w:p>
        </w:tc>
        <w:tc>
          <w:tcPr>
            <w:tcW w:w="1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16.20</w:t>
            </w:r>
          </w:p>
        </w:tc>
        <w:tc>
          <w:tcPr>
            <w:tcW w:w="1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1.99</w:t>
            </w:r>
          </w:p>
        </w:tc>
      </w:tr>
      <w:tr>
        <w:trPr>
          <w:trHeight w:val="236"/>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 earnings per share</w:t>
            </w:r>
          </w:p>
        </w:tc>
        <w:tc>
          <w:tcPr>
            <w:tcW w:w="7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9.00</w:t>
            </w:r>
          </w:p>
        </w:tc>
        <w:tc>
          <w:tcPr>
            <w:tcW w:w="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32.88</w:t>
            </w:r>
          </w:p>
        </w:tc>
        <w:tc>
          <w:tcPr>
            <w:tcW w:w="1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7.68</w:t>
            </w:r>
          </w:p>
        </w:tc>
      </w:tr>
      <w:tr>
        <w:trPr>
          <w:trHeight w:val="20"/>
        </w:trPr>
        <w:tc>
          <w:tcPr>
            <w:tcW w:w="7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7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38"/>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from continuing operations per share</w:t>
            </w:r>
          </w:p>
        </w:tc>
        <w:tc>
          <w:tcPr>
            <w:tcW w:w="7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9.34</w:t>
            </w:r>
          </w:p>
        </w:tc>
        <w:tc>
          <w:tcPr>
            <w:tcW w:w="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16.63</w:t>
            </w:r>
          </w:p>
        </w:tc>
        <w:tc>
          <w:tcPr>
            <w:tcW w:w="1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5.67</w:t>
            </w:r>
          </w:p>
        </w:tc>
      </w:tr>
      <w:tr>
        <w:trPr>
          <w:trHeight w:val="247"/>
        </w:trPr>
        <w:tc>
          <w:tcPr>
            <w:tcW w:w="7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(Loss)/income from discontinued operations per share</w:t>
            </w:r>
          </w:p>
        </w:tc>
        <w:tc>
          <w:tcPr>
            <w:tcW w:w="72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(0.36 )</w:t>
            </w:r>
          </w:p>
        </w:tc>
        <w:tc>
          <w:tcPr>
            <w:tcW w:w="1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16.15</w:t>
            </w:r>
          </w:p>
        </w:tc>
        <w:tc>
          <w:tcPr>
            <w:tcW w:w="1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1.98</w:t>
            </w:r>
          </w:p>
        </w:tc>
      </w:tr>
      <w:tr>
        <w:trPr>
          <w:trHeight w:val="236"/>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7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8.98</w:t>
            </w:r>
          </w:p>
        </w:tc>
        <w:tc>
          <w:tcPr>
            <w:tcW w:w="18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32.78</w:t>
            </w:r>
          </w:p>
        </w:tc>
        <w:tc>
          <w:tcPr>
            <w:tcW w:w="16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7.65</w:t>
            </w:r>
          </w:p>
        </w:tc>
      </w:tr>
      <w:tr>
        <w:trPr>
          <w:trHeight w:val="20"/>
        </w:trPr>
        <w:tc>
          <w:tcPr>
            <w:tcW w:w="7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3"/>
        </w:trPr>
        <w:tc>
          <w:tcPr>
            <w:tcW w:w="7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38"/>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93"/>
              </w:rPr>
              <w:t>1,024</w:t>
            </w:r>
          </w:p>
        </w:tc>
        <w:tc>
          <w:tcPr>
            <w:tcW w:w="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4,236</w:t>
            </w:r>
          </w:p>
        </w:tc>
        <w:tc>
          <w:tcPr>
            <w:tcW w:w="1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1,020</w:t>
            </w:r>
          </w:p>
        </w:tc>
      </w:tr>
      <w:tr>
        <w:trPr>
          <w:trHeight w:val="247"/>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(loss)/income, net of tax:</w:t>
            </w:r>
          </w:p>
        </w:tc>
        <w:tc>
          <w:tcPr>
            <w:tcW w:w="7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r>
      <w:tr>
        <w:trPr>
          <w:trHeight w:val="238"/>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7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(499 )</w:t>
            </w:r>
          </w:p>
        </w:tc>
        <w:tc>
          <w:tcPr>
            <w:tcW w:w="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139</w:t>
            </w:r>
          </w:p>
        </w:tc>
      </w:tr>
      <w:tr>
        <w:trPr>
          <w:trHeight w:val="247"/>
        </w:trPr>
        <w:tc>
          <w:tcPr>
            <w:tcW w:w="7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Defined pension and post-retirement benefits</w:t>
            </w:r>
          </w:p>
        </w:tc>
        <w:tc>
          <w:tcPr>
            <w:tcW w:w="72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260</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(266 )</w:t>
            </w:r>
          </w:p>
        </w:tc>
      </w:tr>
      <w:tr>
        <w:trPr>
          <w:trHeight w:val="238"/>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Derivative instruments</w:t>
            </w:r>
          </w:p>
        </w:tc>
        <w:tc>
          <w:tcPr>
            <w:tcW w:w="7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6"/>
        </w:trPr>
        <w:tc>
          <w:tcPr>
            <w:tcW w:w="7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(loss)/income, net of tax, before non-controlling interests</w:t>
            </w:r>
          </w:p>
        </w:tc>
        <w:tc>
          <w:tcPr>
            <w:tcW w:w="72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(436 )</w:t>
            </w:r>
          </w:p>
        </w:tc>
        <w:tc>
          <w:tcPr>
            <w:tcW w:w="1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(131 )</w:t>
            </w:r>
          </w:p>
        </w:tc>
      </w:tr>
      <w:tr>
        <w:trPr>
          <w:trHeight w:val="236"/>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before non-controlling interests</w:t>
            </w:r>
          </w:p>
        </w:tc>
        <w:tc>
          <w:tcPr>
            <w:tcW w:w="720" w:type="dxa"/>
            <w:vAlign w:val="bottom"/>
          </w:tcPr>
          <w:p>
            <w:pPr>
              <w:spacing w:after="0"/>
              <w:rPr>
                <w:sz w:val="20"/>
                <w:szCs w:val="20"/>
                <w:color w:val="auto"/>
              </w:rPr>
            </w:pPr>
          </w:p>
        </w:tc>
        <w:tc>
          <w:tcPr>
            <w:tcW w:w="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588</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4,411</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889</w:t>
            </w:r>
          </w:p>
        </w:tc>
      </w:tr>
      <w:tr>
        <w:trPr>
          <w:trHeight w:val="243"/>
        </w:trPr>
        <w:tc>
          <w:tcPr>
            <w:tcW w:w="7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72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36"/>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WTW</w:t>
            </w:r>
          </w:p>
        </w:tc>
        <w:tc>
          <w:tcPr>
            <w:tcW w:w="7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574</w:t>
            </w:r>
          </w:p>
        </w:tc>
        <w:tc>
          <w:tcPr>
            <w:tcW w:w="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4,395</w:t>
            </w:r>
          </w:p>
        </w:tc>
        <w:tc>
          <w:tcPr>
            <w:tcW w:w="1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864</w:t>
            </w:r>
          </w:p>
        </w:tc>
      </w:tr>
      <w:tr>
        <w:trPr>
          <w:trHeight w:val="20"/>
        </w:trPr>
        <w:tc>
          <w:tcPr>
            <w:tcW w:w="7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-4683125</wp:posOffset>
            </wp:positionV>
            <wp:extent cx="111125" cy="1625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11125" cy="162560"/>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-4683125</wp:posOffset>
            </wp:positionV>
            <wp:extent cx="102870" cy="1625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-3098800</wp:posOffset>
            </wp:positionV>
            <wp:extent cx="993140" cy="2057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993140" cy="20574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-2430780</wp:posOffset>
            </wp:positionV>
            <wp:extent cx="111125" cy="18859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11125" cy="18859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-2430780</wp:posOffset>
            </wp:positionV>
            <wp:extent cx="102870" cy="18859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-1780540</wp:posOffset>
            </wp:positionV>
            <wp:extent cx="111125" cy="18859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11125" cy="18859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-1780540</wp:posOffset>
            </wp:positionV>
            <wp:extent cx="102870" cy="18859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-504825</wp:posOffset>
            </wp:positionV>
            <wp:extent cx="111125" cy="1625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11125" cy="162560"/>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-504825</wp:posOffset>
            </wp:positionV>
            <wp:extent cx="102870" cy="1625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-187960</wp:posOffset>
            </wp:positionV>
            <wp:extent cx="111125" cy="18859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11125" cy="18859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-187960</wp:posOffset>
            </wp:positionV>
            <wp:extent cx="102870" cy="18859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02870" cy="18859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20"/>
          <w:szCs w:val="20"/>
          <w:b w:val="1"/>
          <w:bCs w:val="1"/>
          <w:color w:val="auto"/>
        </w:rPr>
        <w:t>WILLIS TOWERS WATSON PUBLIC LIMITED COMPANY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0"/>
          <w:szCs w:val="20"/>
          <w:color w:val="auto"/>
        </w:rPr>
        <w:t>(In millions of U.S. dollars, except share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1,262</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4,486</w:t>
            </w: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Fiduciary assets</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11,772</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11,014</w:t>
            </w: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2,387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2,370</w:t>
            </w: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414</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612</w:t>
            </w: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r>
      <w:tr>
        <w:trPr>
          <w:trHeight w:val="240"/>
        </w:trPr>
        <w:tc>
          <w:tcPr>
            <w:tcW w:w="76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15,835</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18,488</w:t>
            </w: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Fixed assets, net</w:t>
            </w:r>
          </w:p>
        </w:tc>
        <w:tc>
          <w:tcPr>
            <w:tcW w:w="24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851</w:t>
            </w: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10,173</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10,183</w:t>
            </w: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4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2,273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2,555</w:t>
            </w: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Right-of-use assets</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586</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720</w:t>
            </w: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Pension benefits assets</w:t>
            </w:r>
          </w:p>
        </w:tc>
        <w:tc>
          <w:tcPr>
            <w:tcW w:w="24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827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971</w:t>
            </w:r>
          </w:p>
        </w:tc>
      </w:tr>
      <w:tr>
        <w:trPr>
          <w:trHeight w:val="243"/>
        </w:trPr>
        <w:tc>
          <w:tcPr>
            <w:tcW w:w="7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1,357</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1,202</w:t>
            </w:r>
          </w:p>
        </w:tc>
      </w:tr>
      <w:tr>
        <w:trPr>
          <w:trHeight w:val="236"/>
        </w:trPr>
        <w:tc>
          <w:tcPr>
            <w:tcW w:w="7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non-current assets</w:t>
            </w: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15,934</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16,482</w:t>
            </w:r>
          </w:p>
        </w:tc>
      </w:tr>
      <w:tr>
        <w:trPr>
          <w:trHeight w:val="276"/>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31,769</w:t>
            </w: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34,970</w:t>
            </w:r>
          </w:p>
        </w:tc>
      </w:tr>
      <w:tr>
        <w:trPr>
          <w:trHeight w:val="22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AND EQUITY</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Fiduciary liabilities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11,772</w:t>
            </w:r>
          </w:p>
        </w:tc>
        <w:tc>
          <w:tcPr>
            <w:tcW w:w="4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11,014</w:t>
            </w: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 and accrued expenses</w:t>
            </w:r>
          </w:p>
        </w:tc>
        <w:tc>
          <w:tcPr>
            <w:tcW w:w="24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1,915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1,926</w:t>
            </w: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debt</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613</w:t>
            </w: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24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150</w:t>
            </w: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716</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1,015</w:t>
            </w: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r>
      <w:tr>
        <w:trPr>
          <w:trHeight w:val="240"/>
        </w:trPr>
        <w:tc>
          <w:tcPr>
            <w:tcW w:w="76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14,779</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14,724</w:t>
            </w: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4,471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3,974</w:t>
            </w: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Liability for pension benefits</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480</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757</w:t>
            </w: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845</w:t>
            </w: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for liabilities</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357</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375</w:t>
            </w: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4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734</w:t>
            </w:r>
          </w:p>
        </w:tc>
      </w:tr>
      <w:tr>
        <w:trPr>
          <w:trHeight w:val="243"/>
        </w:trPr>
        <w:tc>
          <w:tcPr>
            <w:tcW w:w="7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221</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253</w:t>
            </w:r>
          </w:p>
        </w:tc>
      </w:tr>
      <w:tr>
        <w:trPr>
          <w:trHeight w:val="236"/>
        </w:trPr>
        <w:tc>
          <w:tcPr>
            <w:tcW w:w="76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6,897</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6,938</w:t>
            </w:r>
          </w:p>
        </w:tc>
      </w:tr>
      <w:tr>
        <w:trPr>
          <w:trHeight w:val="240"/>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21,676</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21,662</w:t>
            </w: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47"/>
        </w:trPr>
        <w:tc>
          <w:tcPr>
            <w:tcW w:w="7660" w:type="dxa"/>
            <w:vAlign w:val="bottom"/>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EQUITY </w:t>
            </w:r>
            <w:r>
              <w:rPr>
                <w:rFonts w:ascii="Times New Roman" w:cs="Times New Roman" w:eastAsia="Times New Roman" w:hAnsi="Times New Roman"/>
                <w:sz w:val="24"/>
                <w:szCs w:val="24"/>
                <w:color w:val="auto"/>
                <w:vertAlign w:val="superscript"/>
              </w:rPr>
              <w:t>(i)</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10,876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10,804</w:t>
            </w: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1,764</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4,645</w:t>
            </w: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(2,621 )</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(2,186 )</w:t>
            </w:r>
          </w:p>
        </w:tc>
      </w:tr>
      <w:tr>
        <w:trPr>
          <w:trHeight w:val="243"/>
        </w:trPr>
        <w:tc>
          <w:tcPr>
            <w:tcW w:w="7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Treasury shares, at cost, 17,519 in 2022 and 2021</w:t>
            </w:r>
          </w:p>
        </w:tc>
        <w:tc>
          <w:tcPr>
            <w:tcW w:w="24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WTW shareholders’ equity</w:t>
            </w:r>
          </w:p>
        </w:tc>
        <w:tc>
          <w:tcPr>
            <w:tcW w:w="24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10,016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13,260</w:t>
            </w:r>
          </w:p>
        </w:tc>
      </w:tr>
      <w:tr>
        <w:trPr>
          <w:trHeight w:val="243"/>
        </w:trPr>
        <w:tc>
          <w:tcPr>
            <w:tcW w:w="7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w:t>
            </w:r>
          </w:p>
        </w:tc>
      </w:tr>
      <w:tr>
        <w:trPr>
          <w:trHeight w:val="23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equity</w:t>
            </w: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10,093</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13,308</w:t>
            </w:r>
          </w:p>
        </w:tc>
      </w:tr>
      <w:tr>
        <w:trPr>
          <w:trHeight w:val="276"/>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31,769</w:t>
            </w: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34,970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5947410</wp:posOffset>
            </wp:positionH>
            <wp:positionV relativeFrom="paragraph">
              <wp:posOffset>-4434840</wp:posOffset>
            </wp:positionV>
            <wp:extent cx="120015" cy="1714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-4109085</wp:posOffset>
            </wp:positionV>
            <wp:extent cx="120015" cy="1797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0015" cy="17970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-1917065</wp:posOffset>
            </wp:positionV>
            <wp:extent cx="120015" cy="1714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-667385</wp:posOffset>
            </wp:positionV>
            <wp:extent cx="120015" cy="1625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0015" cy="162560"/>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-350520</wp:posOffset>
            </wp:positionV>
            <wp:extent cx="120015" cy="1714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-24765</wp:posOffset>
            </wp:positionV>
            <wp:extent cx="12001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-7620</wp:posOffset>
            </wp:positionV>
            <wp:extent cx="12001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3" w:lineRule="exact"/>
        <w:rPr>
          <w:sz w:val="20"/>
          <w:szCs w:val="20"/>
          <w:color w:val="auto"/>
        </w:rPr>
      </w:pPr>
    </w:p>
    <w:p>
      <w:pPr>
        <w:ind w:left="280" w:right="400" w:hanging="272"/>
        <w:spacing w:after="0" w:line="258" w:lineRule="auto"/>
        <w:tabs>
          <w:tab w:leader="none" w:pos="2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includes (a) Ordinary shares $0.000304635 nominal value; Authorized 1,510,003,775; Issued 106,756,364 (2022) and 122,055,815 (2021); Outstanding 106,756,364 (2022) and 122,055,815 (2021); (b) Preference shares, $0.000115 nominal value; Authorized 1,000,000,000 and Issued none in 2022 and 2021.</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20"/>
          <w:szCs w:val="20"/>
          <w:b w:val="1"/>
          <w:bCs w:val="1"/>
          <w:color w:val="auto"/>
        </w:rPr>
        <w:t>WILLIS TOWERS WATSON PUBLIC LIMITED COMPANY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20"/>
          <w:szCs w:val="20"/>
          <w:color w:val="auto"/>
        </w:rPr>
        <w:t>(In millions of U.S. dollars)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69"/>
        </w:trPr>
        <w:tc>
          <w:tcPr>
            <w:tcW w:w="716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2"/>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CASH FLOWS FROM OPERATING ACTIVITIES</w:t>
            </w:r>
          </w:p>
        </w:tc>
        <w:tc>
          <w:tcPr>
            <w:tcW w:w="7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r>
      <w:tr>
        <w:trPr>
          <w:trHeight w:val="189"/>
        </w:trPr>
        <w:tc>
          <w:tcPr>
            <w:tcW w:w="71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NET INCOME</w:t>
            </w:r>
          </w:p>
        </w:tc>
        <w:tc>
          <w:tcPr>
            <w:tcW w:w="720" w:type="dxa"/>
            <w:vAlign w:val="bottom"/>
          </w:tcPr>
          <w:p>
            <w:pPr>
              <w:jc w:val="right"/>
              <w:ind w:right="565"/>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1,024</w:t>
            </w:r>
          </w:p>
        </w:tc>
        <w:tc>
          <w:tcPr>
            <w:tcW w:w="440" w:type="dxa"/>
            <w:vAlign w:val="bottom"/>
            <w:gridSpan w:val="2"/>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4,236</w:t>
            </w:r>
          </w:p>
        </w:tc>
        <w:tc>
          <w:tcPr>
            <w:tcW w:w="160" w:type="dxa"/>
            <w:vAlign w:val="bottom"/>
          </w:tcPr>
          <w:p>
            <w:pPr>
              <w:spacing w:after="0"/>
              <w:rPr>
                <w:sz w:val="16"/>
                <w:szCs w:val="16"/>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1,020</w:t>
            </w:r>
          </w:p>
        </w:tc>
      </w:tr>
      <w:tr>
        <w:trPr>
          <w:trHeight w:val="158"/>
        </w:trPr>
        <w:tc>
          <w:tcPr>
            <w:tcW w:w="7160" w:type="dxa"/>
            <w:vAlign w:val="bottom"/>
            <w:shd w:val="clear" w:color="auto" w:fill="CFF0FC"/>
          </w:tcPr>
          <w:p>
            <w:pPr>
              <w:ind w:left="200"/>
              <w:spacing w:after="0" w:line="158" w:lineRule="exact"/>
              <w:rPr>
                <w:sz w:val="20"/>
                <w:szCs w:val="20"/>
                <w:color w:val="auto"/>
              </w:rPr>
            </w:pPr>
            <w:r>
              <w:rPr>
                <w:rFonts w:ascii="Times New Roman" w:cs="Times New Roman" w:eastAsia="Times New Roman" w:hAnsi="Times New Roman"/>
                <w:sz w:val="15"/>
                <w:szCs w:val="15"/>
                <w:color w:val="auto"/>
              </w:rPr>
              <w:t>Adjustments to reconcile net income to total net cash from operating</w:t>
            </w:r>
          </w:p>
        </w:tc>
        <w:tc>
          <w:tcPr>
            <w:tcW w:w="7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r>
      <w:tr>
        <w:trPr>
          <w:trHeight w:val="193"/>
        </w:trPr>
        <w:tc>
          <w:tcPr>
            <w:tcW w:w="71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5"/>
                <w:szCs w:val="15"/>
                <w:color w:val="auto"/>
              </w:rPr>
              <w:t>activities:</w:t>
            </w:r>
          </w:p>
        </w:tc>
        <w:tc>
          <w:tcPr>
            <w:tcW w:w="7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r>
      <w:tr>
        <w:trPr>
          <w:trHeight w:val="189"/>
        </w:trPr>
        <w:tc>
          <w:tcPr>
            <w:tcW w:w="716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Depreciation</w:t>
            </w:r>
          </w:p>
        </w:tc>
        <w:tc>
          <w:tcPr>
            <w:tcW w:w="720" w:type="dxa"/>
            <w:vAlign w:val="bottom"/>
          </w:tcPr>
          <w:p>
            <w:pPr>
              <w:spacing w:after="0"/>
              <w:rPr>
                <w:sz w:val="16"/>
                <w:szCs w:val="16"/>
                <w:color w:val="auto"/>
              </w:rPr>
            </w:pPr>
          </w:p>
        </w:tc>
        <w:tc>
          <w:tcPr>
            <w:tcW w:w="5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255</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281</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308</w:t>
            </w:r>
          </w:p>
        </w:tc>
      </w:tr>
      <w:tr>
        <w:trPr>
          <w:trHeight w:val="189"/>
        </w:trPr>
        <w:tc>
          <w:tcPr>
            <w:tcW w:w="7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Amortization</w:t>
            </w:r>
          </w:p>
        </w:tc>
        <w:tc>
          <w:tcPr>
            <w:tcW w:w="720" w:type="dxa"/>
            <w:vAlign w:val="bottom"/>
            <w:shd w:val="clear" w:color="auto" w:fill="CFF0FC"/>
          </w:tcPr>
          <w:p>
            <w:pPr>
              <w:spacing w:after="0"/>
              <w:rPr>
                <w:sz w:val="16"/>
                <w:szCs w:val="16"/>
                <w:color w:val="auto"/>
              </w:rPr>
            </w:pPr>
          </w:p>
        </w:tc>
        <w:tc>
          <w:tcPr>
            <w:tcW w:w="5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312</w:t>
            </w:r>
          </w:p>
        </w:tc>
        <w:tc>
          <w:tcPr>
            <w:tcW w:w="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369</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462</w:t>
            </w:r>
          </w:p>
        </w:tc>
      </w:tr>
      <w:tr>
        <w:trPr>
          <w:trHeight w:val="189"/>
        </w:trPr>
        <w:tc>
          <w:tcPr>
            <w:tcW w:w="716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Impairment</w:t>
            </w:r>
          </w:p>
        </w:tc>
        <w:tc>
          <w:tcPr>
            <w:tcW w:w="720" w:type="dxa"/>
            <w:vAlign w:val="bottom"/>
          </w:tcPr>
          <w:p>
            <w:pPr>
              <w:spacing w:after="0"/>
              <w:rPr>
                <w:sz w:val="16"/>
                <w:szCs w:val="16"/>
                <w:color w:val="auto"/>
              </w:rPr>
            </w:pPr>
          </w:p>
        </w:tc>
        <w:tc>
          <w:tcPr>
            <w:tcW w:w="5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81</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7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Non-cash restructuring charges</w:t>
            </w:r>
          </w:p>
        </w:tc>
        <w:tc>
          <w:tcPr>
            <w:tcW w:w="720" w:type="dxa"/>
            <w:vAlign w:val="bottom"/>
            <w:shd w:val="clear" w:color="auto" w:fill="CFF0FC"/>
          </w:tcPr>
          <w:p>
            <w:pPr>
              <w:spacing w:after="0"/>
              <w:rPr>
                <w:sz w:val="16"/>
                <w:szCs w:val="16"/>
                <w:color w:val="auto"/>
              </w:rPr>
            </w:pPr>
          </w:p>
        </w:tc>
        <w:tc>
          <w:tcPr>
            <w:tcW w:w="5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71</w:t>
            </w:r>
          </w:p>
        </w:tc>
        <w:tc>
          <w:tcPr>
            <w:tcW w:w="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716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Non-cash lease expense</w:t>
            </w:r>
          </w:p>
        </w:tc>
        <w:tc>
          <w:tcPr>
            <w:tcW w:w="720" w:type="dxa"/>
            <w:vAlign w:val="bottom"/>
          </w:tcPr>
          <w:p>
            <w:pPr>
              <w:spacing w:after="0"/>
              <w:rPr>
                <w:sz w:val="16"/>
                <w:szCs w:val="16"/>
                <w:color w:val="auto"/>
              </w:rPr>
            </w:pPr>
          </w:p>
        </w:tc>
        <w:tc>
          <w:tcPr>
            <w:tcW w:w="5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120</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160</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146</w:t>
            </w:r>
          </w:p>
        </w:tc>
      </w:tr>
      <w:tr>
        <w:trPr>
          <w:trHeight w:val="189"/>
        </w:trPr>
        <w:tc>
          <w:tcPr>
            <w:tcW w:w="7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Net periodic benefit of defined benefit pension plans</w:t>
            </w:r>
          </w:p>
        </w:tc>
        <w:tc>
          <w:tcPr>
            <w:tcW w:w="72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(153 )</w:t>
            </w:r>
          </w:p>
        </w:tc>
        <w:tc>
          <w:tcPr>
            <w:tcW w:w="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(168 )</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(196 )</w:t>
            </w:r>
          </w:p>
        </w:tc>
      </w:tr>
      <w:tr>
        <w:trPr>
          <w:trHeight w:val="189"/>
        </w:trPr>
        <w:tc>
          <w:tcPr>
            <w:tcW w:w="716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Provision for doubtful receivables from clients</w:t>
            </w:r>
          </w:p>
        </w:tc>
        <w:tc>
          <w:tcPr>
            <w:tcW w:w="720" w:type="dxa"/>
            <w:vAlign w:val="bottom"/>
          </w:tcPr>
          <w:p>
            <w:pPr>
              <w:spacing w:after="0"/>
              <w:rPr>
                <w:sz w:val="16"/>
                <w:szCs w:val="16"/>
                <w:color w:val="auto"/>
              </w:rPr>
            </w:pPr>
          </w:p>
        </w:tc>
        <w:tc>
          <w:tcPr>
            <w:tcW w:w="5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13</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19</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29</w:t>
            </w:r>
          </w:p>
        </w:tc>
      </w:tr>
      <w:tr>
        <w:trPr>
          <w:trHeight w:val="189"/>
        </w:trPr>
        <w:tc>
          <w:tcPr>
            <w:tcW w:w="7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(Benefit from)/provision for deferred income taxes</w:t>
            </w:r>
          </w:p>
        </w:tc>
        <w:tc>
          <w:tcPr>
            <w:tcW w:w="72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(50 )</w:t>
            </w:r>
          </w:p>
        </w:tc>
        <w:tc>
          <w:tcPr>
            <w:tcW w:w="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226</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99</w:t>
            </w:r>
          </w:p>
        </w:tc>
      </w:tr>
      <w:tr>
        <w:trPr>
          <w:trHeight w:val="189"/>
        </w:trPr>
        <w:tc>
          <w:tcPr>
            <w:tcW w:w="716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Share-based compensation</w:t>
            </w:r>
          </w:p>
        </w:tc>
        <w:tc>
          <w:tcPr>
            <w:tcW w:w="720" w:type="dxa"/>
            <w:vAlign w:val="bottom"/>
          </w:tcPr>
          <w:p>
            <w:pPr>
              <w:spacing w:after="0"/>
              <w:rPr>
                <w:sz w:val="16"/>
                <w:szCs w:val="16"/>
                <w:color w:val="auto"/>
              </w:rPr>
            </w:pPr>
          </w:p>
        </w:tc>
        <w:tc>
          <w:tcPr>
            <w:tcW w:w="5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99</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101</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90</w:t>
            </w:r>
          </w:p>
        </w:tc>
      </w:tr>
      <w:tr>
        <w:trPr>
          <w:trHeight w:val="189"/>
        </w:trPr>
        <w:tc>
          <w:tcPr>
            <w:tcW w:w="7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Net loss/(gain) on disposal of operations</w:t>
            </w:r>
          </w:p>
        </w:tc>
        <w:tc>
          <w:tcPr>
            <w:tcW w:w="720" w:type="dxa"/>
            <w:vAlign w:val="bottom"/>
            <w:shd w:val="clear" w:color="auto" w:fill="CFF0FC"/>
          </w:tcPr>
          <w:p>
            <w:pPr>
              <w:spacing w:after="0"/>
              <w:rPr>
                <w:sz w:val="16"/>
                <w:szCs w:val="16"/>
                <w:color w:val="auto"/>
              </w:rPr>
            </w:pPr>
          </w:p>
        </w:tc>
        <w:tc>
          <w:tcPr>
            <w:tcW w:w="5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59</w:t>
            </w:r>
          </w:p>
        </w:tc>
        <w:tc>
          <w:tcPr>
            <w:tcW w:w="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(2,679 )</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(81 )</w:t>
            </w:r>
          </w:p>
        </w:tc>
      </w:tr>
      <w:tr>
        <w:trPr>
          <w:trHeight w:val="189"/>
        </w:trPr>
        <w:tc>
          <w:tcPr>
            <w:tcW w:w="716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Non-cash foreign exchange gain</w:t>
            </w:r>
          </w:p>
        </w:tc>
        <w:tc>
          <w:tcPr>
            <w:tcW w:w="7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(137 )</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(10 )</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(6 )</w:t>
            </w:r>
          </w:p>
        </w:tc>
      </w:tr>
      <w:tr>
        <w:trPr>
          <w:trHeight w:val="189"/>
        </w:trPr>
        <w:tc>
          <w:tcPr>
            <w:tcW w:w="7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Other, net</w:t>
            </w:r>
          </w:p>
        </w:tc>
        <w:tc>
          <w:tcPr>
            <w:tcW w:w="720" w:type="dxa"/>
            <w:vAlign w:val="bottom"/>
            <w:shd w:val="clear" w:color="auto" w:fill="CFF0FC"/>
          </w:tcPr>
          <w:p>
            <w:pPr>
              <w:spacing w:after="0"/>
              <w:rPr>
                <w:sz w:val="16"/>
                <w:szCs w:val="16"/>
                <w:color w:val="auto"/>
              </w:rPr>
            </w:pPr>
          </w:p>
        </w:tc>
        <w:tc>
          <w:tcPr>
            <w:tcW w:w="5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6</w:t>
            </w:r>
          </w:p>
        </w:tc>
        <w:tc>
          <w:tcPr>
            <w:tcW w:w="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(25 )</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(41 )</w:t>
            </w:r>
          </w:p>
        </w:tc>
      </w:tr>
      <w:tr>
        <w:trPr>
          <w:trHeight w:val="158"/>
        </w:trPr>
        <w:tc>
          <w:tcPr>
            <w:tcW w:w="7160" w:type="dxa"/>
            <w:vAlign w:val="bottom"/>
          </w:tcPr>
          <w:p>
            <w:pPr>
              <w:ind w:left="200"/>
              <w:spacing w:after="0" w:line="158" w:lineRule="exact"/>
              <w:rPr>
                <w:sz w:val="20"/>
                <w:szCs w:val="20"/>
                <w:color w:val="auto"/>
              </w:rPr>
            </w:pPr>
            <w:r>
              <w:rPr>
                <w:rFonts w:ascii="Times New Roman" w:cs="Times New Roman" w:eastAsia="Times New Roman" w:hAnsi="Times New Roman"/>
                <w:sz w:val="15"/>
                <w:szCs w:val="15"/>
                <w:color w:val="auto"/>
              </w:rPr>
              <w:t>Changes in operating assets and liabilities, net of effects from purchase of</w:t>
            </w: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93"/>
        </w:trPr>
        <w:tc>
          <w:tcPr>
            <w:tcW w:w="71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subsidiaries:</w:t>
            </w: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9"/>
        </w:trPr>
        <w:tc>
          <w:tcPr>
            <w:tcW w:w="7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Accounts receivable</w:t>
            </w:r>
          </w:p>
        </w:tc>
        <w:tc>
          <w:tcPr>
            <w:tcW w:w="72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(188 )</w:t>
            </w:r>
          </w:p>
        </w:tc>
        <w:tc>
          <w:tcPr>
            <w:tcW w:w="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(134 )</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72</w:t>
            </w:r>
          </w:p>
        </w:tc>
      </w:tr>
      <w:tr>
        <w:trPr>
          <w:trHeight w:val="189"/>
        </w:trPr>
        <w:tc>
          <w:tcPr>
            <w:tcW w:w="716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Other assets</w:t>
            </w:r>
          </w:p>
        </w:tc>
        <w:tc>
          <w:tcPr>
            <w:tcW w:w="7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(197 )</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(122 )</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(205 )</w:t>
            </w:r>
          </w:p>
        </w:tc>
      </w:tr>
      <w:tr>
        <w:trPr>
          <w:trHeight w:val="189"/>
        </w:trPr>
        <w:tc>
          <w:tcPr>
            <w:tcW w:w="7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Other liabilities</w:t>
            </w:r>
          </w:p>
        </w:tc>
        <w:tc>
          <w:tcPr>
            <w:tcW w:w="72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(495 )</w:t>
            </w:r>
          </w:p>
        </w:tc>
        <w:tc>
          <w:tcPr>
            <w:tcW w:w="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(175 )</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215</w:t>
            </w:r>
          </w:p>
        </w:tc>
      </w:tr>
      <w:tr>
        <w:trPr>
          <w:trHeight w:val="189"/>
        </w:trPr>
        <w:tc>
          <w:tcPr>
            <w:tcW w:w="716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Provisions</w:t>
            </w:r>
          </w:p>
        </w:tc>
        <w:tc>
          <w:tcPr>
            <w:tcW w:w="7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(8 )</w:t>
            </w: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(18 )</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(138 )</w:t>
            </w:r>
          </w:p>
        </w:tc>
      </w:tr>
      <w:tr>
        <w:trPr>
          <w:trHeight w:val="182"/>
        </w:trPr>
        <w:tc>
          <w:tcPr>
            <w:tcW w:w="71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5"/>
                <w:szCs w:val="15"/>
                <w:color w:val="auto"/>
              </w:rPr>
              <w:t>Net cash from operating activities</w:t>
            </w:r>
          </w:p>
        </w:tc>
        <w:tc>
          <w:tcPr>
            <w:tcW w:w="72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812</w:t>
            </w:r>
          </w:p>
        </w:tc>
        <w:tc>
          <w:tcPr>
            <w:tcW w:w="18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2,061</w:t>
            </w:r>
          </w:p>
        </w:tc>
        <w:tc>
          <w:tcPr>
            <w:tcW w:w="16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1,774</w:t>
            </w:r>
          </w:p>
        </w:tc>
      </w:tr>
      <w:tr>
        <w:trPr>
          <w:trHeight w:val="182"/>
        </w:trPr>
        <w:tc>
          <w:tcPr>
            <w:tcW w:w="7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FLOWS (USED IN)/FROM INVESTING ACTIVITIES</w:t>
            </w: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9"/>
        </w:trPr>
        <w:tc>
          <w:tcPr>
            <w:tcW w:w="7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Additions to fixed assets and software for internal use</w:t>
            </w:r>
          </w:p>
        </w:tc>
        <w:tc>
          <w:tcPr>
            <w:tcW w:w="72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(138 )</w:t>
            </w:r>
          </w:p>
        </w:tc>
        <w:tc>
          <w:tcPr>
            <w:tcW w:w="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(148 )</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(223 )</w:t>
            </w:r>
          </w:p>
        </w:tc>
      </w:tr>
      <w:tr>
        <w:trPr>
          <w:trHeight w:val="189"/>
        </w:trPr>
        <w:tc>
          <w:tcPr>
            <w:tcW w:w="716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Capitalized software costs</w:t>
            </w:r>
          </w:p>
        </w:tc>
        <w:tc>
          <w:tcPr>
            <w:tcW w:w="7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(66 )</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(53 )</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(63 )</w:t>
            </w:r>
          </w:p>
        </w:tc>
      </w:tr>
      <w:tr>
        <w:trPr>
          <w:trHeight w:val="189"/>
        </w:trPr>
        <w:tc>
          <w:tcPr>
            <w:tcW w:w="7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Acquisitions of operations, net of cash acquired</w:t>
            </w:r>
          </w:p>
        </w:tc>
        <w:tc>
          <w:tcPr>
            <w:tcW w:w="72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(81 )</w:t>
            </w:r>
          </w:p>
        </w:tc>
        <w:tc>
          <w:tcPr>
            <w:tcW w:w="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(47 )</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(69 )</w:t>
            </w:r>
          </w:p>
        </w:tc>
      </w:tr>
      <w:tr>
        <w:trPr>
          <w:trHeight w:val="189"/>
        </w:trPr>
        <w:tc>
          <w:tcPr>
            <w:tcW w:w="716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Net (payments)/proceeds from sale of operations</w:t>
            </w:r>
          </w:p>
        </w:tc>
        <w:tc>
          <w:tcPr>
            <w:tcW w:w="7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(59 )</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4,048</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237</w:t>
            </w:r>
          </w:p>
        </w:tc>
      </w:tr>
      <w:tr>
        <w:trPr>
          <w:trHeight w:val="189"/>
        </w:trPr>
        <w:tc>
          <w:tcPr>
            <w:tcW w:w="7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Cash and fiduciary funds transferred in sale of operations</w:t>
            </w:r>
          </w:p>
        </w:tc>
        <w:tc>
          <w:tcPr>
            <w:tcW w:w="72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(29 )</w:t>
            </w:r>
          </w:p>
        </w:tc>
        <w:tc>
          <w:tcPr>
            <w:tcW w:w="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(1,030 )</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(25 )</w:t>
            </w:r>
          </w:p>
        </w:tc>
      </w:tr>
      <w:tr>
        <w:trPr>
          <w:trHeight w:val="189"/>
        </w:trPr>
        <w:tc>
          <w:tcPr>
            <w:tcW w:w="716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Sale/(purchase) of investments</w:t>
            </w:r>
          </w:p>
        </w:tc>
        <w:tc>
          <w:tcPr>
            <w:tcW w:w="720" w:type="dxa"/>
            <w:vAlign w:val="bottom"/>
          </w:tcPr>
          <w:p>
            <w:pPr>
              <w:spacing w:after="0"/>
              <w:rPr>
                <w:sz w:val="16"/>
                <w:szCs w:val="16"/>
                <w:color w:val="auto"/>
              </w:rPr>
            </w:pPr>
          </w:p>
        </w:tc>
        <w:tc>
          <w:tcPr>
            <w:tcW w:w="5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200</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(200 )</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7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Other, net</w:t>
            </w:r>
          </w:p>
        </w:tc>
        <w:tc>
          <w:tcPr>
            <w:tcW w:w="720" w:type="dxa"/>
            <w:vAlign w:val="bottom"/>
            <w:shd w:val="clear" w:color="auto" w:fill="CFF0FC"/>
          </w:tcPr>
          <w:p>
            <w:pPr>
              <w:spacing w:after="0"/>
              <w:rPr>
                <w:sz w:val="16"/>
                <w:szCs w:val="16"/>
                <w:color w:val="auto"/>
              </w:rPr>
            </w:pPr>
          </w:p>
        </w:tc>
        <w:tc>
          <w:tcPr>
            <w:tcW w:w="5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(17 )</w:t>
            </w:r>
          </w:p>
        </w:tc>
      </w:tr>
      <w:tr>
        <w:trPr>
          <w:trHeight w:val="182"/>
        </w:trPr>
        <w:tc>
          <w:tcPr>
            <w:tcW w:w="7160" w:type="dxa"/>
            <w:vAlign w:val="bottom"/>
            <w:tcBorders>
              <w:top w:val="single" w:sz="8" w:color="CFF0FC"/>
            </w:tcBorders>
          </w:tcPr>
          <w:p>
            <w:pPr>
              <w:ind w:left="560"/>
              <w:spacing w:after="0"/>
              <w:rPr>
                <w:sz w:val="20"/>
                <w:szCs w:val="20"/>
                <w:color w:val="auto"/>
              </w:rPr>
            </w:pPr>
            <w:r>
              <w:rPr>
                <w:rFonts w:ascii="Times New Roman" w:cs="Times New Roman" w:eastAsia="Times New Roman" w:hAnsi="Times New Roman"/>
                <w:sz w:val="15"/>
                <w:szCs w:val="15"/>
                <w:color w:val="auto"/>
              </w:rPr>
              <w:t>Net cash (used in)/from investing activities</w:t>
            </w:r>
          </w:p>
        </w:tc>
        <w:tc>
          <w:tcPr>
            <w:tcW w:w="72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(173 )</w:t>
            </w:r>
          </w:p>
        </w:tc>
        <w:tc>
          <w:tcPr>
            <w:tcW w:w="180" w:type="dxa"/>
            <w:vAlign w:val="bottom"/>
            <w:tcBorders>
              <w:top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2,570</w:t>
            </w:r>
          </w:p>
        </w:tc>
        <w:tc>
          <w:tcPr>
            <w:tcW w:w="160" w:type="dxa"/>
            <w:vAlign w:val="bottom"/>
            <w:tcBorders>
              <w:top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(160 )</w:t>
            </w:r>
          </w:p>
        </w:tc>
      </w:tr>
      <w:tr>
        <w:trPr>
          <w:trHeight w:val="182"/>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CASH FLOWS (USED IN)/FROM FINANCING ACTIVITIES</w:t>
            </w:r>
          </w:p>
        </w:tc>
        <w:tc>
          <w:tcPr>
            <w:tcW w:w="7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r>
      <w:tr>
        <w:trPr>
          <w:trHeight w:val="189"/>
        </w:trPr>
        <w:tc>
          <w:tcPr>
            <w:tcW w:w="716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Senior notes issued</w:t>
            </w:r>
          </w:p>
        </w:tc>
        <w:tc>
          <w:tcPr>
            <w:tcW w:w="720" w:type="dxa"/>
            <w:vAlign w:val="bottom"/>
          </w:tcPr>
          <w:p>
            <w:pPr>
              <w:spacing w:after="0"/>
              <w:rPr>
                <w:sz w:val="16"/>
                <w:szCs w:val="16"/>
                <w:color w:val="auto"/>
              </w:rPr>
            </w:pPr>
          </w:p>
        </w:tc>
        <w:tc>
          <w:tcPr>
            <w:tcW w:w="5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750</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282</w:t>
            </w:r>
          </w:p>
        </w:tc>
      </w:tr>
      <w:tr>
        <w:trPr>
          <w:trHeight w:val="189"/>
        </w:trPr>
        <w:tc>
          <w:tcPr>
            <w:tcW w:w="7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Debt issuance costs</w:t>
            </w:r>
          </w:p>
        </w:tc>
        <w:tc>
          <w:tcPr>
            <w:tcW w:w="72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(5 )</w:t>
            </w:r>
          </w:p>
        </w:tc>
        <w:tc>
          <w:tcPr>
            <w:tcW w:w="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(4 )</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(2 )</w:t>
            </w:r>
          </w:p>
        </w:tc>
      </w:tr>
      <w:tr>
        <w:trPr>
          <w:trHeight w:val="189"/>
        </w:trPr>
        <w:tc>
          <w:tcPr>
            <w:tcW w:w="716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Repayments of debt</w:t>
            </w:r>
          </w:p>
        </w:tc>
        <w:tc>
          <w:tcPr>
            <w:tcW w:w="7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(585 )</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(1,008 )</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(327 )</w:t>
            </w:r>
          </w:p>
        </w:tc>
      </w:tr>
      <w:tr>
        <w:trPr>
          <w:trHeight w:val="189"/>
        </w:trPr>
        <w:tc>
          <w:tcPr>
            <w:tcW w:w="7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Repurchase of shares</w:t>
            </w:r>
          </w:p>
        </w:tc>
        <w:tc>
          <w:tcPr>
            <w:tcW w:w="72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96"/>
              </w:rPr>
              <w:t>(3,530 )</w:t>
            </w:r>
          </w:p>
        </w:tc>
        <w:tc>
          <w:tcPr>
            <w:tcW w:w="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(1,627 )</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716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Proceeds from issuance of shares</w:t>
            </w:r>
          </w:p>
        </w:tc>
        <w:tc>
          <w:tcPr>
            <w:tcW w:w="720" w:type="dxa"/>
            <w:vAlign w:val="bottom"/>
          </w:tcPr>
          <w:p>
            <w:pPr>
              <w:spacing w:after="0"/>
              <w:rPr>
                <w:sz w:val="16"/>
                <w:szCs w:val="16"/>
                <w:color w:val="auto"/>
              </w:rPr>
            </w:pPr>
          </w:p>
        </w:tc>
        <w:tc>
          <w:tcPr>
            <w:tcW w:w="5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7</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10</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16</w:t>
            </w:r>
          </w:p>
        </w:tc>
      </w:tr>
      <w:tr>
        <w:trPr>
          <w:trHeight w:val="189"/>
        </w:trPr>
        <w:tc>
          <w:tcPr>
            <w:tcW w:w="7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Net proceeds/(payments) from fiduciary funds held for clients</w:t>
            </w:r>
          </w:p>
        </w:tc>
        <w:tc>
          <w:tcPr>
            <w:tcW w:w="720" w:type="dxa"/>
            <w:vAlign w:val="bottom"/>
            <w:shd w:val="clear" w:color="auto" w:fill="CFF0FC"/>
          </w:tcPr>
          <w:p>
            <w:pPr>
              <w:spacing w:after="0"/>
              <w:rPr>
                <w:sz w:val="16"/>
                <w:szCs w:val="16"/>
                <w:color w:val="auto"/>
              </w:rPr>
            </w:pPr>
          </w:p>
        </w:tc>
        <w:tc>
          <w:tcPr>
            <w:tcW w:w="5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354</w:t>
            </w:r>
          </w:p>
        </w:tc>
        <w:tc>
          <w:tcPr>
            <w:tcW w:w="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(40 )</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812</w:t>
            </w:r>
          </w:p>
        </w:tc>
      </w:tr>
      <w:tr>
        <w:trPr>
          <w:trHeight w:val="158"/>
        </w:trPr>
        <w:tc>
          <w:tcPr>
            <w:tcW w:w="7160" w:type="dxa"/>
            <w:vAlign w:val="bottom"/>
          </w:tcPr>
          <w:p>
            <w:pPr>
              <w:ind w:left="380"/>
              <w:spacing w:after="0" w:line="158" w:lineRule="exact"/>
              <w:rPr>
                <w:sz w:val="20"/>
                <w:szCs w:val="20"/>
                <w:color w:val="auto"/>
              </w:rPr>
            </w:pPr>
            <w:r>
              <w:rPr>
                <w:rFonts w:ascii="Times New Roman" w:cs="Times New Roman" w:eastAsia="Times New Roman" w:hAnsi="Times New Roman"/>
                <w:sz w:val="15"/>
                <w:szCs w:val="15"/>
                <w:color w:val="auto"/>
              </w:rPr>
              <w:t>Payments of deferred and contingent consideration related to</w:t>
            </w: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93"/>
        </w:trPr>
        <w:tc>
          <w:tcPr>
            <w:tcW w:w="716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acquisitions</w:t>
            </w:r>
          </w:p>
        </w:tc>
        <w:tc>
          <w:tcPr>
            <w:tcW w:w="7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(22 )</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(19 )</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(12 )</w:t>
            </w:r>
          </w:p>
        </w:tc>
      </w:tr>
      <w:tr>
        <w:trPr>
          <w:trHeight w:val="189"/>
        </w:trPr>
        <w:tc>
          <w:tcPr>
            <w:tcW w:w="7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Cash paid for employee taxes on withholding shares</w:t>
            </w:r>
          </w:p>
        </w:tc>
        <w:tc>
          <w:tcPr>
            <w:tcW w:w="72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(34 )</w:t>
            </w:r>
          </w:p>
        </w:tc>
        <w:tc>
          <w:tcPr>
            <w:tcW w:w="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(16 )</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(14 )</w:t>
            </w:r>
          </w:p>
        </w:tc>
      </w:tr>
      <w:tr>
        <w:trPr>
          <w:trHeight w:val="189"/>
        </w:trPr>
        <w:tc>
          <w:tcPr>
            <w:tcW w:w="716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Dividends paid</w:t>
            </w:r>
          </w:p>
        </w:tc>
        <w:tc>
          <w:tcPr>
            <w:tcW w:w="7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(369 )</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(374 )</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(346 )</w:t>
            </w:r>
          </w:p>
        </w:tc>
      </w:tr>
      <w:tr>
        <w:trPr>
          <w:trHeight w:val="189"/>
        </w:trPr>
        <w:tc>
          <w:tcPr>
            <w:tcW w:w="7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Acquisitions of and dividends paid to non-controlling interests</w:t>
            </w:r>
          </w:p>
        </w:tc>
        <w:tc>
          <w:tcPr>
            <w:tcW w:w="72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(11 )</w:t>
            </w:r>
          </w:p>
        </w:tc>
        <w:tc>
          <w:tcPr>
            <w:tcW w:w="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(36 )</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(28 )</w:t>
            </w:r>
          </w:p>
        </w:tc>
      </w:tr>
      <w:tr>
        <w:trPr>
          <w:trHeight w:val="189"/>
        </w:trPr>
        <w:tc>
          <w:tcPr>
            <w:tcW w:w="716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Other, net</w:t>
            </w:r>
          </w:p>
        </w:tc>
        <w:tc>
          <w:tcPr>
            <w:tcW w:w="720" w:type="dxa"/>
            <w:vAlign w:val="bottom"/>
          </w:tcPr>
          <w:p>
            <w:pPr>
              <w:spacing w:after="0"/>
              <w:rPr>
                <w:sz w:val="16"/>
                <w:szCs w:val="16"/>
                <w:color w:val="auto"/>
              </w:rPr>
            </w:pPr>
          </w:p>
        </w:tc>
        <w:tc>
          <w:tcPr>
            <w:tcW w:w="5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(3 )</w:t>
            </w:r>
          </w:p>
        </w:tc>
      </w:tr>
      <w:tr>
        <w:trPr>
          <w:trHeight w:val="182"/>
        </w:trPr>
        <w:tc>
          <w:tcPr>
            <w:tcW w:w="71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5"/>
                <w:szCs w:val="15"/>
                <w:color w:val="auto"/>
              </w:rPr>
              <w:t>Net cash (used in)/from financing activities</w:t>
            </w:r>
          </w:p>
        </w:tc>
        <w:tc>
          <w:tcPr>
            <w:tcW w:w="720" w:type="dxa"/>
            <w:vAlign w:val="bottom"/>
            <w:tcBorders>
              <w:top w:val="single" w:sz="8" w:color="auto"/>
              <w:bottom w:val="single" w:sz="8" w:color="auto"/>
            </w:tcBorders>
            <w:shd w:val="clear" w:color="auto" w:fill="CFF0FC"/>
          </w:tcPr>
          <w:p>
            <w:pPr>
              <w:spacing w:after="0"/>
              <w:rPr>
                <w:sz w:val="15"/>
                <w:szCs w:val="15"/>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96"/>
              </w:rPr>
              <w:t>(3,445 )</w:t>
            </w:r>
          </w:p>
        </w:tc>
        <w:tc>
          <w:tcPr>
            <w:tcW w:w="18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spacing w:after="0"/>
              <w:rPr>
                <w:sz w:val="15"/>
                <w:szCs w:val="15"/>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(3,114 )</w:t>
            </w:r>
          </w:p>
        </w:tc>
        <w:tc>
          <w:tcPr>
            <w:tcW w:w="16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spacing w:after="0"/>
              <w:rPr>
                <w:sz w:val="15"/>
                <w:szCs w:val="15"/>
                <w:color w:val="auto"/>
              </w:rPr>
            </w:pPr>
          </w:p>
        </w:tc>
        <w:tc>
          <w:tcPr>
            <w:tcW w:w="100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378</w:t>
            </w:r>
          </w:p>
        </w:tc>
      </w:tr>
      <w:tr>
        <w:trPr>
          <w:trHeight w:val="182"/>
        </w:trPr>
        <w:tc>
          <w:tcPr>
            <w:tcW w:w="7160" w:type="dxa"/>
            <w:vAlign w:val="bottom"/>
          </w:tcPr>
          <w:p>
            <w:pPr>
              <w:ind w:left="20"/>
              <w:spacing w:after="0" w:line="183" w:lineRule="exact"/>
              <w:rPr>
                <w:sz w:val="20"/>
                <w:szCs w:val="20"/>
                <w:color w:val="auto"/>
              </w:rPr>
            </w:pPr>
            <w:r>
              <w:rPr>
                <w:rFonts w:ascii="Times New Roman" w:cs="Times New Roman" w:eastAsia="Times New Roman" w:hAnsi="Times New Roman"/>
                <w:sz w:val="15"/>
                <w:szCs w:val="15"/>
                <w:color w:val="auto"/>
              </w:rPr>
              <w:t xml:space="preserve">(DECREASE)/INCREASE IN CASH, CASH EQUIVALENTS AND RESTRICTED CASH </w:t>
            </w:r>
            <w:r>
              <w:rPr>
                <w:rFonts w:ascii="Times New Roman" w:cs="Times New Roman" w:eastAsia="Times New Roman" w:hAnsi="Times New Roman"/>
                <w:sz w:val="20"/>
                <w:szCs w:val="20"/>
                <w:color w:val="auto"/>
                <w:vertAlign w:val="superscript"/>
              </w:rPr>
              <w:t>(i)</w:t>
            </w:r>
          </w:p>
        </w:tc>
        <w:tc>
          <w:tcPr>
            <w:tcW w:w="7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(2,806 )</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1,517</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1,992</w:t>
            </w:r>
          </w:p>
        </w:tc>
      </w:tr>
      <w:tr>
        <w:trPr>
          <w:trHeight w:val="189"/>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Effect of exchange rate changes on cash, cash equivalents and restricted cash</w:t>
            </w:r>
          </w:p>
        </w:tc>
        <w:tc>
          <w:tcPr>
            <w:tcW w:w="72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(164 )</w:t>
            </w:r>
          </w:p>
        </w:tc>
        <w:tc>
          <w:tcPr>
            <w:tcW w:w="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(127 )</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126</w:t>
            </w:r>
          </w:p>
        </w:tc>
      </w:tr>
      <w:tr>
        <w:trPr>
          <w:trHeight w:val="189"/>
        </w:trPr>
        <w:tc>
          <w:tcPr>
            <w:tcW w:w="7160" w:type="dxa"/>
            <w:vAlign w:val="bottom"/>
          </w:tcPr>
          <w:p>
            <w:pPr>
              <w:ind w:left="20"/>
              <w:spacing w:after="0" w:line="189" w:lineRule="exact"/>
              <w:rPr>
                <w:sz w:val="20"/>
                <w:szCs w:val="20"/>
                <w:color w:val="auto"/>
              </w:rPr>
            </w:pPr>
            <w:r>
              <w:rPr>
                <w:rFonts w:ascii="Times New Roman" w:cs="Times New Roman" w:eastAsia="Times New Roman" w:hAnsi="Times New Roman"/>
                <w:sz w:val="15"/>
                <w:szCs w:val="15"/>
                <w:color w:val="auto"/>
              </w:rPr>
              <w:t xml:space="preserve">CASH, CASH EQUIVALENTS AND RESTRICTED CASH, BEGINNING OF YEAR </w:t>
            </w:r>
            <w:r>
              <w:rPr>
                <w:rFonts w:ascii="Times New Roman" w:cs="Times New Roman" w:eastAsia="Times New Roman" w:hAnsi="Times New Roman"/>
                <w:sz w:val="20"/>
                <w:szCs w:val="20"/>
                <w:color w:val="auto"/>
                <w:vertAlign w:val="superscript"/>
              </w:rPr>
              <w:t>(i)</w:t>
            </w:r>
          </w:p>
        </w:tc>
        <w:tc>
          <w:tcPr>
            <w:tcW w:w="7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7,691</w:t>
            </w: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6,301</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4,183</w:t>
            </w:r>
          </w:p>
        </w:tc>
      </w:tr>
      <w:tr>
        <w:trPr>
          <w:trHeight w:val="222"/>
        </w:trPr>
        <w:tc>
          <w:tcPr>
            <w:tcW w:w="7160" w:type="dxa"/>
            <w:vAlign w:val="bottom"/>
            <w:tcBorders>
              <w:bottom w:val="single" w:sz="8" w:color="CFF0FC"/>
            </w:tcBorders>
            <w:shd w:val="clear" w:color="auto" w:fill="CFF0FC"/>
          </w:tcPr>
          <w:p>
            <w:pPr>
              <w:ind w:left="20"/>
              <w:spacing w:after="0" w:line="183" w:lineRule="exact"/>
              <w:rPr>
                <w:sz w:val="20"/>
                <w:szCs w:val="20"/>
                <w:color w:val="auto"/>
              </w:rPr>
            </w:pPr>
            <w:r>
              <w:rPr>
                <w:rFonts w:ascii="Times New Roman" w:cs="Times New Roman" w:eastAsia="Times New Roman" w:hAnsi="Times New Roman"/>
                <w:sz w:val="15"/>
                <w:szCs w:val="15"/>
                <w:color w:val="auto"/>
              </w:rPr>
              <w:t xml:space="preserve">CASH, CASH EQUIVALENTS AND RESTRICTED CASH, END OF YEAR </w:t>
            </w:r>
            <w:r>
              <w:rPr>
                <w:rFonts w:ascii="Times New Roman" w:cs="Times New Roman" w:eastAsia="Times New Roman" w:hAnsi="Times New Roman"/>
                <w:sz w:val="20"/>
                <w:szCs w:val="20"/>
                <w:color w:val="auto"/>
                <w:vertAlign w:val="superscript"/>
              </w:rPr>
              <w:t>(i)</w:t>
            </w:r>
          </w:p>
        </w:tc>
        <w:tc>
          <w:tcPr>
            <w:tcW w:w="720" w:type="dxa"/>
            <w:vAlign w:val="bottom"/>
            <w:tcBorders>
              <w:bottom w:val="single" w:sz="8" w:color="auto"/>
            </w:tcBorders>
            <w:shd w:val="clear" w:color="auto" w:fill="CFF0FC"/>
          </w:tcPr>
          <w:p>
            <w:pPr>
              <w:jc w:val="right"/>
              <w:ind w:right="565"/>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4,721</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7,691</w:t>
            </w:r>
          </w:p>
        </w:tc>
        <w:tc>
          <w:tcPr>
            <w:tcW w:w="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6,301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-3295650</wp:posOffset>
            </wp:positionV>
            <wp:extent cx="111125" cy="12827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11125" cy="128270"/>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-3295650</wp:posOffset>
            </wp:positionV>
            <wp:extent cx="102870" cy="12827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02870" cy="12827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-2328545</wp:posOffset>
            </wp:positionV>
            <wp:extent cx="111125" cy="1371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11125" cy="137160"/>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-2328545</wp:posOffset>
            </wp:positionV>
            <wp:extent cx="102870" cy="13716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02870" cy="13716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-521970</wp:posOffset>
            </wp:positionV>
            <wp:extent cx="111125" cy="12827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11125" cy="128270"/>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-521970</wp:posOffset>
            </wp:positionV>
            <wp:extent cx="102870" cy="12827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02870" cy="128270"/>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-24765</wp:posOffset>
            </wp:positionV>
            <wp:extent cx="1111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-7620</wp:posOffset>
            </wp:positionV>
            <wp:extent cx="1111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-24765</wp:posOffset>
            </wp:positionV>
            <wp:extent cx="10287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-7620</wp:posOffset>
            </wp:positionV>
            <wp:extent cx="10287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95059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46" w:lineRule="exact"/>
        <w:rPr>
          <w:sz w:val="20"/>
          <w:szCs w:val="20"/>
          <w:color w:val="auto"/>
        </w:rPr>
      </w:pPr>
    </w:p>
    <w:p>
      <w:pPr>
        <w:ind w:left="280" w:right="160" w:hanging="272"/>
        <w:spacing w:after="0" w:line="243" w:lineRule="auto"/>
        <w:tabs>
          <w:tab w:leader="none" w:pos="2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amounts of cash, cash equivalents and restricted cash, their respective classification on the consolidated balance sheets as well as their respective portions of the increase or decrease in cash, cash equivalents and restricted cash for each of the periods presented have been included in Note 21 </w:t>
      </w:r>
      <w:r>
        <w:rPr>
          <w:rFonts w:ascii="Calibri" w:cs="Calibri" w:eastAsia="Calibri" w:hAnsi="Calibri"/>
          <w:sz w:val="14"/>
          <w:szCs w:val="14"/>
          <w:color w:val="auto"/>
        </w:rPr>
        <w:t>—</w:t>
      </w:r>
      <w:r>
        <w:rPr>
          <w:rFonts w:ascii="Times New Roman" w:cs="Times New Roman" w:eastAsia="Times New Roman" w:hAnsi="Times New Roman"/>
          <w:sz w:val="14"/>
          <w:szCs w:val="14"/>
          <w:color w:val="auto"/>
        </w:rPr>
        <w:t xml:space="preserve"> Supplemental Disclosures of Cash Flow Information.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millions of U.S. dollars and number of shares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117"/>
              <w:spacing w:after="0"/>
              <w:rPr>
                <w:sz w:val="20"/>
                <w:szCs w:val="20"/>
                <w:color w:val="auto"/>
              </w:rPr>
            </w:pPr>
            <w:r>
              <w:rPr>
                <w:rFonts w:ascii="Times New Roman" w:cs="Times New Roman" w:eastAsia="Times New Roman" w:hAnsi="Times New Roman"/>
                <w:sz w:val="12"/>
                <w:szCs w:val="12"/>
                <w:b w:val="1"/>
                <w:bCs w:val="1"/>
                <w:color w:val="auto"/>
                <w:w w:val="92"/>
              </w:rPr>
              <w:t>Total WTW</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1000" w:type="dxa"/>
            <w:vAlign w:val="bottom"/>
          </w:tcPr>
          <w:p>
            <w:pPr>
              <w:jc w:val="right"/>
              <w:ind w:right="337"/>
              <w:spacing w:after="0" w:line="135" w:lineRule="exact"/>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237"/>
              <w:spacing w:after="0" w:line="135"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277"/>
              <w:spacing w:after="0" w:line="135"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Treasury</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restart"/>
          </w:tcPr>
          <w:p>
            <w:pPr>
              <w:jc w:val="right"/>
              <w:ind w:right="257"/>
              <w:spacing w:after="0"/>
              <w:rPr>
                <w:sz w:val="20"/>
                <w:szCs w:val="20"/>
                <w:color w:val="auto"/>
              </w:rPr>
            </w:pPr>
            <w:r>
              <w:rPr>
                <w:rFonts w:ascii="Times New Roman" w:cs="Times New Roman" w:eastAsia="Times New Roman" w:hAnsi="Times New Roman"/>
                <w:sz w:val="12"/>
                <w:szCs w:val="12"/>
                <w:b w:val="1"/>
                <w:bCs w:val="1"/>
                <w:color w:val="auto"/>
              </w:rPr>
              <w:t xml:space="preserve">AOCL </w:t>
            </w:r>
            <w:r>
              <w:rPr>
                <w:rFonts w:ascii="Times New Roman" w:cs="Times New Roman" w:eastAsia="Times New Roman" w:hAnsi="Times New Roman"/>
                <w:sz w:val="15"/>
                <w:szCs w:val="15"/>
                <w:b w:val="1"/>
                <w:bCs w:val="1"/>
                <w:color w:val="auto"/>
                <w:vertAlign w:val="superscript"/>
              </w:rPr>
              <w:t>(i)</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2"/>
                <w:szCs w:val="12"/>
                <w:b w:val="1"/>
                <w:bCs w:val="1"/>
                <w:color w:val="auto"/>
                <w:w w:val="94"/>
              </w:rPr>
              <w:t>shareholders’</w:t>
            </w:r>
          </w:p>
        </w:tc>
        <w:tc>
          <w:tcPr>
            <w:tcW w:w="120" w:type="dxa"/>
            <w:vAlign w:val="bottom"/>
          </w:tcPr>
          <w:p>
            <w:pPr>
              <w:spacing w:after="0"/>
              <w:rPr>
                <w:sz w:val="11"/>
                <w:szCs w:val="11"/>
                <w:color w:val="auto"/>
              </w:rPr>
            </w:pPr>
          </w:p>
        </w:tc>
        <w:tc>
          <w:tcPr>
            <w:tcW w:w="94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2"/>
                <w:szCs w:val="12"/>
                <w:b w:val="1"/>
                <w:bCs w:val="1"/>
                <w:color w:val="auto"/>
                <w:w w:val="98"/>
              </w:rPr>
              <w:t>Non-controlling</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640" w:type="dxa"/>
            <w:vAlign w:val="bottom"/>
          </w:tcPr>
          <w:p>
            <w:pPr>
              <w:spacing w:after="0"/>
              <w:rPr>
                <w:sz w:val="13"/>
                <w:szCs w:val="13"/>
                <w:color w:val="auto"/>
              </w:rPr>
            </w:pPr>
          </w:p>
        </w:tc>
        <w:tc>
          <w:tcPr>
            <w:tcW w:w="10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2"/>
                <w:szCs w:val="12"/>
                <w:b w:val="1"/>
                <w:bCs w:val="1"/>
                <w:color w:val="auto"/>
              </w:rPr>
              <w:t>outstanding</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2"/>
                <w:szCs w:val="12"/>
                <w:b w:val="1"/>
                <w:bCs w:val="1"/>
                <w:color w:val="auto"/>
                <w:w w:val="94"/>
              </w:rPr>
              <w:t>paid-in capital</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20" w:type="dxa"/>
            <w:vAlign w:val="bottom"/>
          </w:tcPr>
          <w:p>
            <w:pPr>
              <w:spacing w:after="0"/>
              <w:rPr>
                <w:sz w:val="13"/>
                <w:szCs w:val="13"/>
                <w:color w:val="auto"/>
              </w:rPr>
            </w:pPr>
          </w:p>
        </w:tc>
        <w:tc>
          <w:tcPr>
            <w:tcW w:w="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2"/>
                <w:szCs w:val="12"/>
                <w:b w:val="1"/>
                <w:bCs w:val="1"/>
                <w:color w:val="auto"/>
                <w:w w:val="93"/>
              </w:rPr>
              <w:t>equity</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2"/>
                <w:szCs w:val="12"/>
                <w:b w:val="1"/>
                <w:bCs w:val="1"/>
                <w:color w:val="auto"/>
                <w:w w:val="99"/>
              </w:rPr>
              <w:t>Total equity</w:t>
            </w:r>
          </w:p>
        </w:tc>
        <w:tc>
          <w:tcPr>
            <w:tcW w:w="0" w:type="dxa"/>
            <w:vAlign w:val="bottom"/>
          </w:tcPr>
          <w:p>
            <w:pPr>
              <w:spacing w:after="0"/>
              <w:rPr>
                <w:sz w:val="1"/>
                <w:szCs w:val="1"/>
                <w:color w:val="auto"/>
              </w:rPr>
            </w:pPr>
          </w:p>
        </w:tc>
      </w:tr>
      <w:tr>
        <w:trPr>
          <w:trHeight w:val="155"/>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as of January 1, 2020</w:t>
            </w:r>
          </w:p>
        </w:tc>
        <w:tc>
          <w:tcPr>
            <w:tcW w:w="10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128,690</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10,687</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1,792</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539"/>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(2,227 )</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10,249</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120</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10,369</w:t>
            </w:r>
          </w:p>
        </w:tc>
        <w:tc>
          <w:tcPr>
            <w:tcW w:w="0" w:type="dxa"/>
            <w:vAlign w:val="bottom"/>
          </w:tcPr>
          <w:p>
            <w:pPr>
              <w:spacing w:after="0"/>
              <w:rPr>
                <w:sz w:val="1"/>
                <w:szCs w:val="1"/>
                <w:color w:val="auto"/>
              </w:rPr>
            </w:pPr>
          </w:p>
        </w:tc>
      </w:tr>
      <w:tr>
        <w:trPr>
          <w:trHeight w:val="162"/>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996</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996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1,020</w:t>
            </w:r>
          </w:p>
        </w:tc>
        <w:tc>
          <w:tcPr>
            <w:tcW w:w="0" w:type="dxa"/>
            <w:vAlign w:val="bottom"/>
          </w:tcPr>
          <w:p>
            <w:pPr>
              <w:spacing w:after="0"/>
              <w:rPr>
                <w:sz w:val="1"/>
                <w:szCs w:val="1"/>
                <w:color w:val="auto"/>
              </w:rPr>
            </w:pPr>
          </w:p>
        </w:tc>
      </w:tr>
      <w:tr>
        <w:trPr>
          <w:trHeight w:val="162"/>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Dividends declared ($2.75 per share)</w:t>
            </w:r>
          </w:p>
        </w:tc>
        <w:tc>
          <w:tcPr>
            <w:tcW w:w="10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(354 )</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(354 )</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(354 )</w:t>
            </w:r>
          </w:p>
        </w:tc>
        <w:tc>
          <w:tcPr>
            <w:tcW w:w="0" w:type="dxa"/>
            <w:vAlign w:val="bottom"/>
          </w:tcPr>
          <w:p>
            <w:pPr>
              <w:spacing w:after="0"/>
              <w:rPr>
                <w:sz w:val="1"/>
                <w:szCs w:val="1"/>
                <w:color w:val="auto"/>
              </w:rPr>
            </w:pPr>
          </w:p>
        </w:tc>
      </w:tr>
      <w:tr>
        <w:trPr>
          <w:trHeight w:val="130"/>
        </w:trPr>
        <w:tc>
          <w:tcPr>
            <w:tcW w:w="264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Dividends attributable to non-controlling</w:t>
            </w: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interests</w:t>
            </w: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(22 )</w:t>
            </w:r>
          </w:p>
        </w:tc>
        <w:tc>
          <w:tcPr>
            <w:tcW w:w="0" w:type="dxa"/>
            <w:vAlign w:val="bottom"/>
          </w:tcPr>
          <w:p>
            <w:pPr>
              <w:spacing w:after="0"/>
              <w:rPr>
                <w:sz w:val="1"/>
                <w:szCs w:val="1"/>
                <w:color w:val="auto"/>
              </w:rPr>
            </w:pPr>
          </w:p>
        </w:tc>
      </w:tr>
      <w:tr>
        <w:trPr>
          <w:trHeight w:val="163"/>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(loss)/income</w:t>
            </w:r>
          </w:p>
        </w:tc>
        <w:tc>
          <w:tcPr>
            <w:tcW w:w="10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(132 )</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(132 )</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(131 )</w:t>
            </w:r>
          </w:p>
        </w:tc>
        <w:tc>
          <w:tcPr>
            <w:tcW w:w="0" w:type="dxa"/>
            <w:vAlign w:val="bottom"/>
          </w:tcPr>
          <w:p>
            <w:pPr>
              <w:spacing w:after="0"/>
              <w:rPr>
                <w:sz w:val="1"/>
                <w:szCs w:val="1"/>
                <w:color w:val="auto"/>
              </w:rPr>
            </w:pPr>
          </w:p>
        </w:tc>
      </w:tr>
      <w:tr>
        <w:trPr>
          <w:trHeight w:val="130"/>
        </w:trPr>
        <w:tc>
          <w:tcPr>
            <w:tcW w:w="264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Issuance of shares under employee stock</w:t>
            </w: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compensation plans</w:t>
            </w: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275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63"/>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Share-based compensation and net settlements</w:t>
            </w:r>
          </w:p>
        </w:tc>
        <w:tc>
          <w:tcPr>
            <w:tcW w:w="10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46</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46</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46</w:t>
            </w:r>
          </w:p>
        </w:tc>
        <w:tc>
          <w:tcPr>
            <w:tcW w:w="0" w:type="dxa"/>
            <w:vAlign w:val="bottom"/>
          </w:tcPr>
          <w:p>
            <w:pPr>
              <w:spacing w:after="0"/>
              <w:rPr>
                <w:sz w:val="1"/>
                <w:szCs w:val="1"/>
                <w:color w:val="auto"/>
              </w:rPr>
            </w:pPr>
          </w:p>
        </w:tc>
      </w:tr>
      <w:tr>
        <w:trPr>
          <w:trHeight w:val="162"/>
        </w:trPr>
        <w:tc>
          <w:tcPr>
            <w:tcW w:w="264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Reduction of non-controlling interests </w:t>
            </w:r>
            <w:r>
              <w:rPr>
                <w:rFonts w:ascii="Times New Roman" w:cs="Times New Roman" w:eastAsia="Times New Roman" w:hAnsi="Times New Roman"/>
                <w:sz w:val="16"/>
                <w:szCs w:val="16"/>
                <w:color w:val="auto"/>
                <w:vertAlign w:val="superscript"/>
              </w:rPr>
              <w:t>(ii)</w:t>
            </w: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0" w:type="dxa"/>
            <w:vAlign w:val="bottom"/>
          </w:tcPr>
          <w:p>
            <w:pPr>
              <w:spacing w:after="0"/>
              <w:rPr>
                <w:sz w:val="1"/>
                <w:szCs w:val="1"/>
                <w:color w:val="auto"/>
              </w:rPr>
            </w:pPr>
          </w:p>
        </w:tc>
      </w:tr>
      <w:tr>
        <w:trPr>
          <w:trHeight w:val="162"/>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0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(3 )</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0" w:type="dxa"/>
            <w:vAlign w:val="bottom"/>
          </w:tcPr>
          <w:p>
            <w:pPr>
              <w:spacing w:after="0"/>
              <w:rPr>
                <w:sz w:val="1"/>
                <w:szCs w:val="1"/>
                <w:color w:val="auto"/>
              </w:rPr>
            </w:pPr>
          </w:p>
        </w:tc>
      </w:tr>
      <w:tr>
        <w:trPr>
          <w:trHeight w:val="162"/>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10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(7 )</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(7 )</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(7 )</w:t>
            </w:r>
          </w:p>
        </w:tc>
        <w:tc>
          <w:tcPr>
            <w:tcW w:w="0" w:type="dxa"/>
            <w:vAlign w:val="bottom"/>
          </w:tcPr>
          <w:p>
            <w:pPr>
              <w:spacing w:after="0"/>
              <w:rPr>
                <w:sz w:val="1"/>
                <w:szCs w:val="1"/>
                <w:color w:val="auto"/>
              </w:rPr>
            </w:pPr>
          </w:p>
        </w:tc>
      </w:tr>
      <w:tr>
        <w:trPr>
          <w:trHeight w:val="155"/>
        </w:trPr>
        <w:tc>
          <w:tcPr>
            <w:tcW w:w="2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2020</w:t>
            </w:r>
          </w:p>
        </w:tc>
        <w:tc>
          <w:tcPr>
            <w:tcW w:w="100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128,965</w:t>
            </w:r>
          </w:p>
        </w:tc>
        <w:tc>
          <w:tcPr>
            <w:tcW w:w="1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10,748</w:t>
            </w:r>
          </w:p>
        </w:tc>
        <w:tc>
          <w:tcPr>
            <w:tcW w:w="1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2,434</w:t>
            </w:r>
          </w:p>
        </w:tc>
        <w:tc>
          <w:tcPr>
            <w:tcW w:w="12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ind w:right="539"/>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1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(2,359 )</w:t>
            </w:r>
          </w:p>
        </w:tc>
        <w:tc>
          <w:tcPr>
            <w:tcW w:w="1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10,820</w:t>
            </w:r>
          </w:p>
        </w:tc>
        <w:tc>
          <w:tcPr>
            <w:tcW w:w="1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112</w:t>
            </w: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10,932</w:t>
            </w:r>
          </w:p>
        </w:tc>
        <w:tc>
          <w:tcPr>
            <w:tcW w:w="0" w:type="dxa"/>
            <w:vAlign w:val="bottom"/>
          </w:tcPr>
          <w:p>
            <w:pPr>
              <w:spacing w:after="0"/>
              <w:rPr>
                <w:sz w:val="1"/>
                <w:szCs w:val="1"/>
                <w:color w:val="auto"/>
              </w:rPr>
            </w:pPr>
          </w:p>
        </w:tc>
      </w:tr>
      <w:tr>
        <w:trPr>
          <w:trHeight w:val="155"/>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Shares repurchased</w:t>
            </w:r>
          </w:p>
        </w:tc>
        <w:tc>
          <w:tcPr>
            <w:tcW w:w="10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(7,155 )</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(1,627 )</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(1,627 )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(1,627 )</w:t>
            </w:r>
          </w:p>
        </w:tc>
        <w:tc>
          <w:tcPr>
            <w:tcW w:w="0" w:type="dxa"/>
            <w:vAlign w:val="bottom"/>
          </w:tcPr>
          <w:p>
            <w:pPr>
              <w:spacing w:after="0"/>
              <w:rPr>
                <w:sz w:val="1"/>
                <w:szCs w:val="1"/>
                <w:color w:val="auto"/>
              </w:rPr>
            </w:pPr>
          </w:p>
        </w:tc>
      </w:tr>
      <w:tr>
        <w:trPr>
          <w:trHeight w:val="162"/>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4,222</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4,222</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4,236</w:t>
            </w:r>
          </w:p>
        </w:tc>
        <w:tc>
          <w:tcPr>
            <w:tcW w:w="0" w:type="dxa"/>
            <w:vAlign w:val="bottom"/>
          </w:tcPr>
          <w:p>
            <w:pPr>
              <w:spacing w:after="0"/>
              <w:rPr>
                <w:sz w:val="1"/>
                <w:szCs w:val="1"/>
                <w:color w:val="auto"/>
              </w:rPr>
            </w:pPr>
          </w:p>
        </w:tc>
      </w:tr>
      <w:tr>
        <w:trPr>
          <w:trHeight w:val="162"/>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 declared ($3.02 per share)</w:t>
            </w: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(384 )</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(384 )</w:t>
            </w:r>
          </w:p>
        </w:tc>
        <w:tc>
          <w:tcPr>
            <w:tcW w:w="0" w:type="dxa"/>
            <w:vAlign w:val="bottom"/>
          </w:tcPr>
          <w:p>
            <w:pPr>
              <w:spacing w:after="0"/>
              <w:rPr>
                <w:sz w:val="1"/>
                <w:szCs w:val="1"/>
                <w:color w:val="auto"/>
              </w:rPr>
            </w:pPr>
          </w:p>
        </w:tc>
      </w:tr>
      <w:tr>
        <w:trPr>
          <w:trHeight w:val="130"/>
        </w:trPr>
        <w:tc>
          <w:tcPr>
            <w:tcW w:w="2640" w:type="dxa"/>
            <w:vAlign w:val="bottom"/>
            <w:shd w:val="clear" w:color="auto" w:fill="CFF0FC"/>
          </w:tcPr>
          <w:p>
            <w:pPr>
              <w:ind w:left="20"/>
              <w:spacing w:after="0" w:line="130" w:lineRule="exact"/>
              <w:rPr>
                <w:sz w:val="20"/>
                <w:szCs w:val="20"/>
                <w:color w:val="auto"/>
              </w:rPr>
            </w:pPr>
            <w:r>
              <w:rPr>
                <w:rFonts w:ascii="Times New Roman" w:cs="Times New Roman" w:eastAsia="Times New Roman" w:hAnsi="Times New Roman"/>
                <w:sz w:val="13"/>
                <w:szCs w:val="13"/>
                <w:color w:val="auto"/>
              </w:rPr>
              <w:t>Dividends attributable to non-controlling</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interests</w:t>
            </w:r>
          </w:p>
        </w:tc>
        <w:tc>
          <w:tcPr>
            <w:tcW w:w="10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(29 )</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(29 )</w:t>
            </w:r>
          </w:p>
        </w:tc>
        <w:tc>
          <w:tcPr>
            <w:tcW w:w="0" w:type="dxa"/>
            <w:vAlign w:val="bottom"/>
          </w:tcPr>
          <w:p>
            <w:pPr>
              <w:spacing w:after="0"/>
              <w:rPr>
                <w:sz w:val="1"/>
                <w:szCs w:val="1"/>
                <w:color w:val="auto"/>
              </w:rPr>
            </w:pPr>
          </w:p>
        </w:tc>
      </w:tr>
      <w:tr>
        <w:trPr>
          <w:trHeight w:val="162"/>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173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173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175</w:t>
            </w:r>
          </w:p>
        </w:tc>
        <w:tc>
          <w:tcPr>
            <w:tcW w:w="0" w:type="dxa"/>
            <w:vAlign w:val="bottom"/>
          </w:tcPr>
          <w:p>
            <w:pPr>
              <w:spacing w:after="0"/>
              <w:rPr>
                <w:sz w:val="1"/>
                <w:szCs w:val="1"/>
                <w:color w:val="auto"/>
              </w:rPr>
            </w:pPr>
          </w:p>
        </w:tc>
      </w:tr>
      <w:tr>
        <w:trPr>
          <w:trHeight w:val="130"/>
        </w:trPr>
        <w:tc>
          <w:tcPr>
            <w:tcW w:w="2640" w:type="dxa"/>
            <w:vAlign w:val="bottom"/>
            <w:shd w:val="clear" w:color="auto" w:fill="CFF0FC"/>
          </w:tcPr>
          <w:p>
            <w:pPr>
              <w:ind w:left="20"/>
              <w:spacing w:after="0" w:line="130" w:lineRule="exact"/>
              <w:rPr>
                <w:sz w:val="20"/>
                <w:szCs w:val="20"/>
                <w:color w:val="auto"/>
              </w:rPr>
            </w:pPr>
            <w:r>
              <w:rPr>
                <w:rFonts w:ascii="Times New Roman" w:cs="Times New Roman" w:eastAsia="Times New Roman" w:hAnsi="Times New Roman"/>
                <w:sz w:val="13"/>
                <w:szCs w:val="13"/>
                <w:color w:val="auto"/>
              </w:rPr>
              <w:t>Issuance of shares under employee stock</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compensation plans</w:t>
            </w:r>
          </w:p>
        </w:tc>
        <w:tc>
          <w:tcPr>
            <w:tcW w:w="10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246</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62"/>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 and net settlements</w:t>
            </w: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47</w:t>
            </w:r>
          </w:p>
        </w:tc>
        <w:tc>
          <w:tcPr>
            <w:tcW w:w="0" w:type="dxa"/>
            <w:vAlign w:val="bottom"/>
          </w:tcPr>
          <w:p>
            <w:pPr>
              <w:spacing w:after="0"/>
              <w:rPr>
                <w:sz w:val="1"/>
                <w:szCs w:val="1"/>
                <w:color w:val="auto"/>
              </w:rPr>
            </w:pPr>
          </w:p>
        </w:tc>
      </w:tr>
      <w:tr>
        <w:trPr>
          <w:trHeight w:val="162"/>
        </w:trPr>
        <w:tc>
          <w:tcPr>
            <w:tcW w:w="264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Reduction of non-controlling interests </w:t>
            </w:r>
            <w:r>
              <w:rPr>
                <w:rFonts w:ascii="Times New Roman" w:cs="Times New Roman" w:eastAsia="Times New Roman" w:hAnsi="Times New Roman"/>
                <w:sz w:val="16"/>
                <w:szCs w:val="16"/>
                <w:color w:val="auto"/>
                <w:vertAlign w:val="superscript"/>
              </w:rPr>
              <w:t>(ii)</w:t>
            </w:r>
          </w:p>
        </w:tc>
        <w:tc>
          <w:tcPr>
            <w:tcW w:w="10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(8 )</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(8 )</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(51 )</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(59 )</w:t>
            </w:r>
          </w:p>
        </w:tc>
        <w:tc>
          <w:tcPr>
            <w:tcW w:w="0" w:type="dxa"/>
            <w:vAlign w:val="bottom"/>
          </w:tcPr>
          <w:p>
            <w:pPr>
              <w:spacing w:after="0"/>
              <w:rPr>
                <w:sz w:val="1"/>
                <w:szCs w:val="1"/>
                <w:color w:val="auto"/>
              </w:rPr>
            </w:pPr>
          </w:p>
        </w:tc>
      </w:tr>
      <w:tr>
        <w:trPr>
          <w:trHeight w:val="162"/>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10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55"/>
        </w:trPr>
        <w:tc>
          <w:tcPr>
            <w:tcW w:w="2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2021</w:t>
            </w:r>
          </w:p>
        </w:tc>
        <w:tc>
          <w:tcPr>
            <w:tcW w:w="100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122,056</w:t>
            </w:r>
          </w:p>
        </w:tc>
        <w:tc>
          <w:tcPr>
            <w:tcW w:w="1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10,804</w:t>
            </w:r>
          </w:p>
        </w:tc>
        <w:tc>
          <w:tcPr>
            <w:tcW w:w="1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4,645</w:t>
            </w:r>
          </w:p>
        </w:tc>
        <w:tc>
          <w:tcPr>
            <w:tcW w:w="12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ind w:right="539"/>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1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(2,186 )</w:t>
            </w:r>
          </w:p>
        </w:tc>
        <w:tc>
          <w:tcPr>
            <w:tcW w:w="1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13,260</w:t>
            </w:r>
          </w:p>
        </w:tc>
        <w:tc>
          <w:tcPr>
            <w:tcW w:w="1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48</w:t>
            </w: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13,308</w:t>
            </w:r>
          </w:p>
        </w:tc>
        <w:tc>
          <w:tcPr>
            <w:tcW w:w="0" w:type="dxa"/>
            <w:vAlign w:val="bottom"/>
          </w:tcPr>
          <w:p>
            <w:pPr>
              <w:spacing w:after="0"/>
              <w:rPr>
                <w:sz w:val="1"/>
                <w:szCs w:val="1"/>
                <w:color w:val="auto"/>
              </w:rPr>
            </w:pPr>
          </w:p>
        </w:tc>
      </w:tr>
      <w:tr>
        <w:trPr>
          <w:trHeight w:val="155"/>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Shares repurchased</w:t>
            </w:r>
          </w:p>
        </w:tc>
        <w:tc>
          <w:tcPr>
            <w:tcW w:w="10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(15,729 )</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(3,530 )</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(3,530 )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(3,530 )</w:t>
            </w:r>
          </w:p>
        </w:tc>
        <w:tc>
          <w:tcPr>
            <w:tcW w:w="0" w:type="dxa"/>
            <w:vAlign w:val="bottom"/>
          </w:tcPr>
          <w:p>
            <w:pPr>
              <w:spacing w:after="0"/>
              <w:rPr>
                <w:sz w:val="1"/>
                <w:szCs w:val="1"/>
                <w:color w:val="auto"/>
              </w:rPr>
            </w:pPr>
          </w:p>
        </w:tc>
      </w:tr>
      <w:tr>
        <w:trPr>
          <w:trHeight w:val="162"/>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1,009</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1,009</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15</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1,024</w:t>
            </w:r>
          </w:p>
        </w:tc>
        <w:tc>
          <w:tcPr>
            <w:tcW w:w="0" w:type="dxa"/>
            <w:vAlign w:val="bottom"/>
          </w:tcPr>
          <w:p>
            <w:pPr>
              <w:spacing w:after="0"/>
              <w:rPr>
                <w:sz w:val="1"/>
                <w:szCs w:val="1"/>
                <w:color w:val="auto"/>
              </w:rPr>
            </w:pPr>
          </w:p>
        </w:tc>
      </w:tr>
      <w:tr>
        <w:trPr>
          <w:trHeight w:val="162"/>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 declared ($3.28 per share)</w:t>
            </w: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(360 )</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(360 )</w:t>
            </w:r>
          </w:p>
        </w:tc>
        <w:tc>
          <w:tcPr>
            <w:tcW w:w="0" w:type="dxa"/>
            <w:vAlign w:val="bottom"/>
          </w:tcPr>
          <w:p>
            <w:pPr>
              <w:spacing w:after="0"/>
              <w:rPr>
                <w:sz w:val="1"/>
                <w:szCs w:val="1"/>
                <w:color w:val="auto"/>
              </w:rPr>
            </w:pPr>
          </w:p>
        </w:tc>
      </w:tr>
      <w:tr>
        <w:trPr>
          <w:trHeight w:val="130"/>
        </w:trPr>
        <w:tc>
          <w:tcPr>
            <w:tcW w:w="2640" w:type="dxa"/>
            <w:vAlign w:val="bottom"/>
            <w:shd w:val="clear" w:color="auto" w:fill="CFF0FC"/>
          </w:tcPr>
          <w:p>
            <w:pPr>
              <w:ind w:left="20"/>
              <w:spacing w:after="0" w:line="130" w:lineRule="exact"/>
              <w:rPr>
                <w:sz w:val="20"/>
                <w:szCs w:val="20"/>
                <w:color w:val="auto"/>
              </w:rPr>
            </w:pPr>
            <w:r>
              <w:rPr>
                <w:rFonts w:ascii="Times New Roman" w:cs="Times New Roman" w:eastAsia="Times New Roman" w:hAnsi="Times New Roman"/>
                <w:sz w:val="13"/>
                <w:szCs w:val="13"/>
                <w:color w:val="auto"/>
              </w:rPr>
              <w:t>Dividends attributable to non-controlling</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interests</w:t>
            </w:r>
          </w:p>
        </w:tc>
        <w:tc>
          <w:tcPr>
            <w:tcW w:w="10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0" w:type="dxa"/>
            <w:vAlign w:val="bottom"/>
          </w:tcPr>
          <w:p>
            <w:pPr>
              <w:spacing w:after="0"/>
              <w:rPr>
                <w:sz w:val="1"/>
                <w:szCs w:val="1"/>
                <w:color w:val="auto"/>
              </w:rPr>
            </w:pPr>
          </w:p>
        </w:tc>
      </w:tr>
      <w:tr>
        <w:trPr>
          <w:trHeight w:val="162"/>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(436 )</w:t>
            </w:r>
          </w:p>
        </w:tc>
        <w:tc>
          <w:tcPr>
            <w:tcW w:w="0" w:type="dxa"/>
            <w:vAlign w:val="bottom"/>
          </w:tcPr>
          <w:p>
            <w:pPr>
              <w:spacing w:after="0"/>
              <w:rPr>
                <w:sz w:val="1"/>
                <w:szCs w:val="1"/>
                <w:color w:val="auto"/>
              </w:rPr>
            </w:pPr>
          </w:p>
        </w:tc>
      </w:tr>
      <w:tr>
        <w:trPr>
          <w:trHeight w:val="130"/>
        </w:trPr>
        <w:tc>
          <w:tcPr>
            <w:tcW w:w="2640" w:type="dxa"/>
            <w:vAlign w:val="bottom"/>
            <w:shd w:val="clear" w:color="auto" w:fill="CFF0FC"/>
          </w:tcPr>
          <w:p>
            <w:pPr>
              <w:ind w:left="20"/>
              <w:spacing w:after="0" w:line="130" w:lineRule="exact"/>
              <w:rPr>
                <w:sz w:val="20"/>
                <w:szCs w:val="20"/>
                <w:color w:val="auto"/>
              </w:rPr>
            </w:pPr>
            <w:r>
              <w:rPr>
                <w:rFonts w:ascii="Times New Roman" w:cs="Times New Roman" w:eastAsia="Times New Roman" w:hAnsi="Times New Roman"/>
                <w:sz w:val="13"/>
                <w:szCs w:val="13"/>
                <w:color w:val="auto"/>
              </w:rPr>
              <w:t>Issuance of shares under employee stock</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compensation plans</w:t>
            </w:r>
          </w:p>
        </w:tc>
        <w:tc>
          <w:tcPr>
            <w:tcW w:w="10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429</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 and net settlements</w:t>
            </w: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54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54</w:t>
            </w:r>
          </w:p>
        </w:tc>
        <w:tc>
          <w:tcPr>
            <w:tcW w:w="0" w:type="dxa"/>
            <w:vAlign w:val="bottom"/>
          </w:tcPr>
          <w:p>
            <w:pPr>
              <w:spacing w:after="0"/>
              <w:rPr>
                <w:sz w:val="1"/>
                <w:szCs w:val="1"/>
                <w:color w:val="auto"/>
              </w:rPr>
            </w:pPr>
          </w:p>
        </w:tc>
      </w:tr>
      <w:tr>
        <w:trPr>
          <w:trHeight w:val="162"/>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Additional non-controlling interests</w:t>
            </w:r>
          </w:p>
        </w:tc>
        <w:tc>
          <w:tcPr>
            <w:tcW w:w="10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62"/>
        </w:trPr>
        <w:tc>
          <w:tcPr>
            <w:tcW w:w="264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Reduction of non-controlling interests </w:t>
            </w:r>
            <w:r>
              <w:rPr>
                <w:rFonts w:ascii="Times New Roman" w:cs="Times New Roman" w:eastAsia="Times New Roman" w:hAnsi="Times New Roman"/>
                <w:sz w:val="16"/>
                <w:szCs w:val="16"/>
                <w:color w:val="auto"/>
                <w:vertAlign w:val="superscript"/>
              </w:rPr>
              <w:t>(ii)</w:t>
            </w: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2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100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55"/>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2022</w:t>
            </w:r>
          </w:p>
        </w:tc>
        <w:tc>
          <w:tcPr>
            <w:tcW w:w="10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106,756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10,876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1,764</w:t>
            </w:r>
          </w:p>
        </w:tc>
        <w:tc>
          <w:tcPr>
            <w:tcW w:w="800" w:type="dxa"/>
            <w:vAlign w:val="bottom"/>
            <w:gridSpan w:val="2"/>
          </w:tcPr>
          <w:p>
            <w:pPr>
              <w:jc w:val="right"/>
              <w:ind w:right="539"/>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(2,621 )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10,016</w:t>
            </w:r>
          </w:p>
        </w:tc>
        <w:tc>
          <w:tcPr>
            <w:tcW w:w="260" w:type="dxa"/>
            <w:vAlign w:val="bottom"/>
            <w:gridSpan w:val="2"/>
          </w:tcPr>
          <w:p>
            <w:pPr>
              <w:jc w:val="right"/>
              <w:ind w:right="2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10,093</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2308225</wp:posOffset>
            </wp:positionH>
            <wp:positionV relativeFrom="paragraph">
              <wp:posOffset>-2559685</wp:posOffset>
            </wp:positionV>
            <wp:extent cx="76835" cy="11112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3018790</wp:posOffset>
            </wp:positionH>
            <wp:positionV relativeFrom="paragraph">
              <wp:posOffset>-2559685</wp:posOffset>
            </wp:positionV>
            <wp:extent cx="76835" cy="11112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3729355</wp:posOffset>
            </wp:positionH>
            <wp:positionV relativeFrom="paragraph">
              <wp:posOffset>-2559685</wp:posOffset>
            </wp:positionV>
            <wp:extent cx="76835" cy="11112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-2559685</wp:posOffset>
            </wp:positionV>
            <wp:extent cx="68580" cy="11112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-2559685</wp:posOffset>
            </wp:positionV>
            <wp:extent cx="68580" cy="11112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-2559685</wp:posOffset>
            </wp:positionV>
            <wp:extent cx="68580" cy="11112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6443980</wp:posOffset>
            </wp:positionH>
            <wp:positionV relativeFrom="paragraph">
              <wp:posOffset>-2559685</wp:posOffset>
            </wp:positionV>
            <wp:extent cx="68580" cy="11112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2308225</wp:posOffset>
            </wp:positionH>
            <wp:positionV relativeFrom="paragraph">
              <wp:posOffset>-1343660</wp:posOffset>
            </wp:positionV>
            <wp:extent cx="76835" cy="11112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3018790</wp:posOffset>
            </wp:positionH>
            <wp:positionV relativeFrom="paragraph">
              <wp:posOffset>-1343660</wp:posOffset>
            </wp:positionV>
            <wp:extent cx="76835" cy="11112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3729355</wp:posOffset>
            </wp:positionH>
            <wp:positionV relativeFrom="paragraph">
              <wp:posOffset>-1343660</wp:posOffset>
            </wp:positionV>
            <wp:extent cx="76835" cy="11112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-1343660</wp:posOffset>
            </wp:positionV>
            <wp:extent cx="68580" cy="11112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-1343660</wp:posOffset>
            </wp:positionV>
            <wp:extent cx="68580" cy="11112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-1343660</wp:posOffset>
            </wp:positionV>
            <wp:extent cx="68580" cy="11112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6443980</wp:posOffset>
            </wp:positionH>
            <wp:positionV relativeFrom="paragraph">
              <wp:posOffset>-1343660</wp:posOffset>
            </wp:positionV>
            <wp:extent cx="68580" cy="11112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2308225</wp:posOffset>
            </wp:positionH>
            <wp:positionV relativeFrom="paragraph">
              <wp:posOffset>-136525</wp:posOffset>
            </wp:positionV>
            <wp:extent cx="76835" cy="1371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3018790</wp:posOffset>
            </wp:positionH>
            <wp:positionV relativeFrom="paragraph">
              <wp:posOffset>-136525</wp:posOffset>
            </wp:positionV>
            <wp:extent cx="76835" cy="1371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3729355</wp:posOffset>
            </wp:positionH>
            <wp:positionV relativeFrom="paragraph">
              <wp:posOffset>-136525</wp:posOffset>
            </wp:positionV>
            <wp:extent cx="76835" cy="1371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-136525</wp:posOffset>
            </wp:positionV>
            <wp:extent cx="68580" cy="1371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-136525</wp:posOffset>
            </wp:positionV>
            <wp:extent cx="68580" cy="1371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-136525</wp:posOffset>
            </wp:positionV>
            <wp:extent cx="68580" cy="1371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6443980</wp:posOffset>
            </wp:positionH>
            <wp:positionV relativeFrom="paragraph">
              <wp:posOffset>-136525</wp:posOffset>
            </wp:positionV>
            <wp:extent cx="68580" cy="1371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95059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64" w:lineRule="exact"/>
        <w:rPr>
          <w:sz w:val="20"/>
          <w:szCs w:val="20"/>
          <w:color w:val="auto"/>
        </w:rPr>
      </w:pPr>
    </w:p>
    <w:p>
      <w:pPr>
        <w:ind w:left="280" w:hanging="272"/>
        <w:spacing w:after="0"/>
        <w:tabs>
          <w:tab w:leader="none" w:pos="2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Accumulated other comprehensive loss, net of tax (‘AOCL’).</w:t>
      </w:r>
    </w:p>
    <w:p>
      <w:pPr>
        <w:spacing w:after="0" w:line="25" w:lineRule="exact"/>
        <w:rPr>
          <w:rFonts w:ascii="Times New Roman" w:cs="Times New Roman" w:eastAsia="Times New Roman" w:hAnsi="Times New Roman"/>
          <w:sz w:val="13"/>
          <w:szCs w:val="13"/>
          <w:color w:val="auto"/>
        </w:rPr>
      </w:pPr>
    </w:p>
    <w:p>
      <w:pPr>
        <w:ind w:left="280" w:hanging="272"/>
        <w:spacing w:after="0"/>
        <w:tabs>
          <w:tab w:leader="none" w:pos="2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Attributable to the divestiture of businesses that are less than wholly-owned or the acquisition of shares previously owned by minority interest holders.</w:t>
      </w:r>
    </w:p>
    <w:p>
      <w:pPr>
        <w:spacing w:after="0" w:line="1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See accompanying notes to the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amounts are in millions of U.S. dollars, except per share data)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Operations</w:t>
      </w:r>
    </w:p>
    <w:p>
      <w:pPr>
        <w:spacing w:after="0" w:line="17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Willis Towers Watson Public Limited Company is a leading global advisory, broking and solutions company that provides data-driven, insight-led solutions in the areas of people, risk and capital. The Company has more than 46,000 colleagues serving more than 140 countries and markets.</w:t>
      </w:r>
    </w:p>
    <w:p>
      <w:pPr>
        <w:spacing w:after="0" w:line="109"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We design and deliver solutions that manage risk, optimize benefits, cultivate talent and expand the power of capital to protect and strengthen institutions and individuals.</w:t>
      </w:r>
    </w:p>
    <w:p>
      <w:pPr>
        <w:spacing w:after="0" w:line="10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Our risk management services include strategic risk consulting (including providing actuarial analysis), a variety of due diligence services, the provision of practical on-site risk control services (such as health and safety and property loss control consulting), and analytical and advisory services (such as hazard modeling). We also assist our clients with planning for addressing incidents or crises when they occur. These services include contingency planning, security audits and product tampering plans.</w:t>
      </w:r>
    </w:p>
    <w:p>
      <w:pPr>
        <w:spacing w:after="0" w:line="128" w:lineRule="exact"/>
        <w:rPr>
          <w:sz w:val="20"/>
          <w:szCs w:val="20"/>
          <w:color w:val="auto"/>
        </w:rPr>
      </w:pPr>
    </w:p>
    <w:p>
      <w:pPr>
        <w:jc w:val="both"/>
        <w:ind w:right="220"/>
        <w:spacing w:after="0" w:line="265" w:lineRule="auto"/>
        <w:rPr>
          <w:sz w:val="20"/>
          <w:szCs w:val="20"/>
          <w:color w:val="auto"/>
        </w:rPr>
      </w:pPr>
      <w:r>
        <w:rPr>
          <w:rFonts w:ascii="Times New Roman" w:cs="Times New Roman" w:eastAsia="Times New Roman" w:hAnsi="Times New Roman"/>
          <w:sz w:val="18"/>
          <w:szCs w:val="18"/>
          <w:color w:val="auto"/>
        </w:rPr>
        <w:t>We help our clients enhance business performance by delivering consulting services, technology and solutions that optimize benefits and cultivate talent. Our services and solutions encompass such areas as employee benefits, total rewards, talent and benefits outsourcing. In addition, we provide investment advice to help our clients develop disciplined and efficient strategies to meet their investment goals and expand the power of capital.</w:t>
      </w:r>
    </w:p>
    <w:p>
      <w:pPr>
        <w:spacing w:after="0" w:line="123" w:lineRule="exact"/>
        <w:rPr>
          <w:sz w:val="20"/>
          <w:szCs w:val="20"/>
          <w:color w:val="auto"/>
        </w:rPr>
      </w:pPr>
    </w:p>
    <w:p>
      <w:pPr>
        <w:jc w:val="both"/>
        <w:ind w:right="160"/>
        <w:spacing w:after="0" w:line="312" w:lineRule="auto"/>
        <w:rPr>
          <w:sz w:val="20"/>
          <w:szCs w:val="20"/>
          <w:color w:val="auto"/>
        </w:rPr>
      </w:pPr>
      <w:r>
        <w:rPr>
          <w:rFonts w:ascii="Times New Roman" w:cs="Times New Roman" w:eastAsia="Times New Roman" w:hAnsi="Times New Roman"/>
          <w:sz w:val="17"/>
          <w:szCs w:val="17"/>
          <w:color w:val="auto"/>
        </w:rPr>
        <w:t>As an insurance broker, we act as an intermediary between our clients and insurance carriers by advising on their risk management requirements, helping them to determine the best means of managing risk and negotiating and placing insurance with insurance carriers through our global distribution network.</w:t>
      </w:r>
    </w:p>
    <w:p>
      <w:pPr>
        <w:spacing w:after="0" w:line="8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We operate a private Medicare marketplace in the U.S. through which, along with our active employee marketplace, we help our clients move to a more sustainable economic model by capping and controlling the costs associated with healthcare benefits. We also provide direct-to-consumer sales of Medicare coverage.</w:t>
      </w:r>
    </w:p>
    <w:p>
      <w:pPr>
        <w:spacing w:after="0" w:line="123" w:lineRule="exact"/>
        <w:rPr>
          <w:sz w:val="20"/>
          <w:szCs w:val="20"/>
          <w:color w:val="auto"/>
        </w:rPr>
      </w:pPr>
    </w:p>
    <w:p>
      <w:pPr>
        <w:ind w:right="900"/>
        <w:spacing w:after="0" w:line="281" w:lineRule="auto"/>
        <w:rPr>
          <w:sz w:val="20"/>
          <w:szCs w:val="20"/>
          <w:color w:val="auto"/>
        </w:rPr>
      </w:pPr>
      <w:r>
        <w:rPr>
          <w:rFonts w:ascii="Times New Roman" w:cs="Times New Roman" w:eastAsia="Times New Roman" w:hAnsi="Times New Roman"/>
          <w:sz w:val="18"/>
          <w:szCs w:val="18"/>
          <w:color w:val="auto"/>
        </w:rPr>
        <w:t>We are not an insurance company, and therefore we do not underwrite insurable risks for our own account. We help sharpen strategies, enhance organizational resilience, motivate workforces and maximize performance to uncover opportunities for sustainable success.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Reorganization</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January 1, 2022, WTW realigned to provide its comprehensive offering of services and solutions to clients across two business segments: Health, Wealth &amp; Career (‘HWC’), and Risk &amp; Broking (‘R&amp;B’). These changes were made in conjunction with changes in the WTW leadership team, including the appointment of a new chief executive officer who succeeded the prior CEO as the chief operating decision maker on that date. Prior to January 1, 2022, we operated across four segments: Human Capital and Benefits; Corporate Risk and Broking; Investment, Risk and Reinsurance; and Benefits Delivery and Administration. Following the realignment, the two new segments consist of the following businesses:</w:t>
      </w:r>
    </w:p>
    <w:p>
      <w:pPr>
        <w:spacing w:after="0" w:line="74" w:lineRule="exact"/>
        <w:rPr>
          <w:sz w:val="20"/>
          <w:szCs w:val="20"/>
          <w:color w:val="auto"/>
        </w:rPr>
      </w:pPr>
    </w:p>
    <w:p>
      <w:pPr>
        <w:ind w:left="760" w:right="880" w:hanging="378"/>
        <w:spacing w:after="0" w:line="312" w:lineRule="auto"/>
        <w:tabs>
          <w:tab w:leader="none" w:pos="7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HWC segment includes businesses previously aligned under the Human Capital and Benefits segment, the Benefits Delivery and Administration segment, and the Investments business, which was previously under the Investment, Risk and Reinsurance segment.</w:t>
      </w:r>
    </w:p>
    <w:p>
      <w:pPr>
        <w:spacing w:after="0" w:line="31" w:lineRule="exact"/>
        <w:rPr>
          <w:rFonts w:ascii="Times New Roman" w:cs="Times New Roman" w:eastAsia="Times New Roman" w:hAnsi="Times New Roman"/>
          <w:sz w:val="17"/>
          <w:szCs w:val="17"/>
          <w:color w:val="auto"/>
        </w:rPr>
      </w:pPr>
    </w:p>
    <w:p>
      <w:pPr>
        <w:ind w:left="760" w:right="220" w:hanging="378"/>
        <w:spacing w:after="0" w:line="281"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R&amp;B segment includes businesses previously aligned under the Corporate Risk and Broking segment, as well as the Insurance Consulting and Technology business, which was previously under the Investment, Risk and Reinsurance segment.</w:t>
      </w:r>
    </w:p>
    <w:p>
      <w:pPr>
        <w:spacing w:after="0" w:line="109"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8"/>
          <w:szCs w:val="18"/>
          <w:color w:val="auto"/>
        </w:rPr>
        <w:t>In addition, effective January 1, 2022, the Company manages its businesses across three geographical areas: North America, Europe (including Great Britain) and International.</w:t>
      </w:r>
    </w:p>
    <w:p>
      <w:pPr>
        <w:spacing w:after="0" w:line="109"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Certain Investment, Risk and Reinsurance businesses that were part of the results from continuing operations in the prior-year period presented were divested during 2021. The revenue and income from operations for these businesses have been included as ‘divested businesses’ in the reconciliations between the total segment results and the consolidated results of the Company. However, the results of the divested Willis Re treaty-reinsurance business are presented as discontinued operations and are therefore excluded from the divested businesses presented in the segment reconciliations.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Segment results herein are presented on a retrospective basis to reflect the reorganization. See Note 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Revenue, Note 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Segment Information, Note 6</w:t>
      </w:r>
    </w:p>
    <w:p>
      <w:pPr>
        <w:spacing w:after="0" w:line="31" w:lineRule="exact"/>
        <w:rPr>
          <w:sz w:val="20"/>
          <w:szCs w:val="20"/>
          <w:color w:val="auto"/>
        </w:rPr>
      </w:pPr>
    </w:p>
    <w:p>
      <w:pPr>
        <w:ind w:left="5540" w:right="2220" w:hanging="5526"/>
        <w:spacing w:after="0" w:line="510" w:lineRule="auto"/>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Restructuring Costs and Note 9</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Goodwill and Other Intangible Assets for the Company's segment-based presentations.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78" w:name="page79"/>
    <w:bookmarkEnd w:id="78"/>
    <w:p>
      <w:pPr>
        <w:ind w:right="3220"/>
        <w:spacing w:after="0" w:line="440" w:lineRule="auto"/>
        <w:rPr>
          <w:sz w:val="20"/>
          <w:szCs w:val="20"/>
          <w:color w:val="auto"/>
        </w:rPr>
      </w:pPr>
      <w:r>
        <w:rPr>
          <w:rFonts w:ascii="Times New Roman" w:cs="Times New Roman" w:eastAsia="Times New Roman" w:hAnsi="Times New Roman"/>
          <w:sz w:val="18"/>
          <w:szCs w:val="18"/>
          <w:b w:val="1"/>
          <w:bCs w:val="1"/>
          <w:color w:val="auto"/>
        </w:rPr>
        <w:t>Note 2 — Basis of Presentation, Significant Accounting Policies and Recent Accounting Pronouncements Basis of Presentation</w:t>
      </w:r>
    </w:p>
    <w:p>
      <w:pPr>
        <w:spacing w:after="0" w:line="265" w:lineRule="auto"/>
        <w:rPr>
          <w:sz w:val="20"/>
          <w:szCs w:val="20"/>
          <w:color w:val="auto"/>
        </w:rPr>
      </w:pPr>
      <w:r>
        <w:rPr>
          <w:rFonts w:ascii="Times New Roman" w:cs="Times New Roman" w:eastAsia="Times New Roman" w:hAnsi="Times New Roman"/>
          <w:sz w:val="18"/>
          <w:szCs w:val="18"/>
          <w:color w:val="auto"/>
        </w:rPr>
        <w:t>The accompanying audited consolidated financial statements of WTW and our subsidiaries are presented in accordance with the rules and regulations of the SEC for annual reports on Form 10-K and are prepared in accordance with U.S. GAAP. All intercompany accounts and transactions have been eliminated in consolidation.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 of the Economic Environment</w:t>
      </w:r>
    </w:p>
    <w:p>
      <w:pPr>
        <w:spacing w:after="0" w:line="175"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Beginning with the COVID-19 pandemic, there have been adverse changes in global commercial activity, particularly in the global supply chain and workforce availability, and significant volatility in the global financial markets including, among other effects, occasional declines in the equity markets, changes in interest rates and reduced liquidity on a global basis.</w:t>
      </w:r>
    </w:p>
    <w:p>
      <w:pPr>
        <w:spacing w:after="0" w:line="123"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Supply and labor market disruptions caused by COVID-19, accommodative monetary and fiscal policy and the Russian invasion of Ukraine have contributed to significant inflation in many of the markets in which we operate. This impacts not only the costs to attract and retain employees but also other costs to run and invest in our business. If our costs grow significantly in excess of our ability to raise revenue, our margins and results of operations may be materially and adversely impacted and we may not be able to achieve our strategic and financial objectives.</w:t>
      </w:r>
    </w:p>
    <w:p>
      <w:pPr>
        <w:spacing w:after="0" w:line="12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Although we believe we have adapted to the unique challenges posed by COVID-19 surrounding how and where we do our work, we are also impacted by the negative effect on workforce availability, which could hamper our ability to grow our capacity on pace with increasing demand for our services. We expect the market for talent to remain highly competitive for at least the next several months. We will continue to monitor the situation and assess any implications to our business and our stakeholders.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Principles of Consolidation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accompanying consolidated financial statements include the accounts of WTW and those of our majority-owned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controlled subsidiaries. We determine whether we have a controlling financial interest in an entity by first evaluating whether the entity is a voting interest entity or a variable interest entity (‘VIE’). Variable interest entities are entities that lack one or more of the characteristics of a voting interest entity and therefore require a different approach in determining which party involved with the VIE should consolidate the entity. With a VIE, either the entity does not have sufficient equity at risk to finance its activities without additional subordinated financial support from other parties, or the equity holders, as a group, do not have the power to direct the activities that most significantly impact its financial performance, the obligation to absorb expected losses of the entity, or the right to receive the expected residual returns of the entity. The entity that has a controlling financial interest in a VIE is referred to as the primary beneficiary and is required to consolidate the VIE.</w:t>
      </w:r>
    </w:p>
    <w:p>
      <w:pPr>
        <w:spacing w:after="0" w:line="137"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Voting interest entities are entities that have sufficient equity and provide equity investors voting rights that give them the power to make significant decisions related to the entity’s operations. The usual condition for a controlling financial interest in a voting interest entity is ownership of a majority voting interest. Accordingly, we consolidate our voting interest entity investments in which we hold, directly or indirectly, more than 50% of the voting rights.</w:t>
      </w:r>
    </w:p>
    <w:p>
      <w:pPr>
        <w:spacing w:after="0" w:line="12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i w:val="1"/>
          <w:iCs w:val="1"/>
          <w:u w:val="single" w:color="auto"/>
          <w:color w:val="auto"/>
        </w:rPr>
        <w:t>Use of Estimates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These consolidated financial statements conform to U.S. GAAP, which requires management to make estimates and assumptions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 the reported amounts of assets and liabilities as well as disclosures of contingent assets and liabilities at the date of the financial statements and the reported amounts of revenue and expenses during the reporting periods. Our estimates, judgments and assumptions are continually evaluated based on available information and experience. Because of the use of estimates inherent in the financial reporting process, actual results could differ from those estimates. Estimates are used when accounting for revenue recognition and related costs, the selection of useful lives of fixed and intangible assets, impairment testing, valuation of billed and unbilled receivables from clients, discretionary compensation, income taxes, pension assumptions, incurred but not reported claims, legal reserves and goodwill and intangible assets.</w:t>
      </w:r>
    </w:p>
    <w:p>
      <w:pPr>
        <w:spacing w:after="0" w:line="13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Going Concern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Management evaluates at each annual and interim period whether there are conditions or events, considered in the aggregate, that raise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 doubt about our ability to continue as a going concern within one year after the date that the consolidated financial statements are issued. Management’s evaluation is based on relevant conditions and events that are known and reasonably knowable at the date that the consolidated financial statements are issued. Management has concluded that there are no conditions or events, considered in the aggregate, that raise substantial doubt about our ability to continue as a going concern within one year after the date of these financial statements.</w:t>
      </w:r>
    </w:p>
    <w:p>
      <w:pPr>
        <w:spacing w:after="0" w:line="128" w:lineRule="exact"/>
        <w:rPr>
          <w:sz w:val="20"/>
          <w:szCs w:val="20"/>
          <w:color w:val="auto"/>
        </w:rPr>
      </w:pPr>
    </w:p>
    <w:p>
      <w:pPr>
        <w:jc w:val="both"/>
        <w:ind w:right="8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Fair Value of Financial Instruments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carrying values of our cash, cash equivalents and restricted cash, accounts receivable, short-term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accrued expenses and revolving lines of credit approximate their fair values because of the short maturity and liquidity of those instruments. The fair value of our senior notes and note receivable are considered Level 2 financial instruments as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color w:val="auto"/>
        </w:rPr>
        <w:t>they are corroborated by observable market data. See Note 12 — Fair Value Measurements for additional information about our measurements of fair value.</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i w:val="1"/>
          <w:iCs w:val="1"/>
          <w:u w:val="single" w:color="auto"/>
          <w:color w:val="auto"/>
        </w:rPr>
        <w:t>Cash and Cash Equivalents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Cash and cash equivalents primarily consist of time deposits with original maturities of three months or less. In certain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countries in which we conduct business, we are subject to capital adequacy requirements. Most significantly, Willis Limited, our U.K. brokerage subsidiary regulated by the Financial Conduct Authority, is currently required to maintain $105 million in unencumbered and available financial resources, of which at least $66 million must be in cash, for regulatory purposes. Term deposits and certificates of deposits with original maturities greater than three months are considered to be short-term investments and are included in Prepaid and other current assets. Additionally, see Note 21 — Supplemental Disclosures of Cash Flow Information for a reconciliation of the cash, cash equivalents and restricted cash as presented on our consolidated balance sheets and the consolidated statements of cash flows.</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Fiduciary Assets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collects premiums from insureds and, after deducting commissions, remits the premiums to the respective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insurers. The Company also collects claims or refunds from insurers on behalf of insureds. Certain of our health and welfare benefits administration outsourcing agreements require us to hold funds on behalf of clients to pay obligations on their behalf or for plan participants to pay for medical costs (‘benefit funds’). Benefit funds held in cash and cash equivalents are part of fiduciary funds. In some instances, plan participants direct us to invest these benefit funds on their behalf (‘benefit funds investments’). Each of these transactions is reported on our consolidated balance sheets as assets and corresponding liabilities unless such balances are due to or from the same party and a right of offset exists, in which case the balances are recorded net.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Fiduciary assets on the consolidated balance sheets are comprised of fiduciary funds, benefit funds investments and fiduciary receivables:</w:t>
      </w:r>
    </w:p>
    <w:p>
      <w:pPr>
        <w:spacing w:after="0" w:line="169" w:lineRule="exact"/>
        <w:rPr>
          <w:sz w:val="20"/>
          <w:szCs w:val="20"/>
          <w:color w:val="auto"/>
        </w:rPr>
      </w:pPr>
    </w:p>
    <w:p>
      <w:pPr>
        <w:ind w:left="380" w:right="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Fiduciary funds – </w:t>
      </w:r>
      <w:r>
        <w:rPr>
          <w:rFonts w:ascii="Times New Roman" w:cs="Times New Roman" w:eastAsia="Times New Roman" w:hAnsi="Times New Roman"/>
          <w:sz w:val="18"/>
          <w:szCs w:val="18"/>
          <w:color w:val="auto"/>
        </w:rPr>
        <w:t>These amounts are restricted cash and cash equivalents held for unremitted insurance premiums and claims and benefit funds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invested, and are recorded within fiduciary assets on the consolidated balance sheets. Fiduciary funds are generally required to be kept in certain regulated bank accounts subject to guidelines which emphasize capital preservation and liquidity. Such funds are not available to service the Company’s debt or for other corporate purposes. Notwithstanding the legal relationships with insureds and insurers and excluding earnings on benefit funds, the Company is entitled to retain investment income earned on fiduciary funds in accordance with industry custom and practice and, in some cases, as supported by agreements with insureds. The period for which the Company holds such funds in its broking capacity is dependent upon the date the insured remits the payment of the premium to the Company, or the date the Company receives a refund from the insurer, and the date the Company is required to forward such payments to the insurer or insured, respectively. For the benefit funds, cash and cash equivalents are held until the funds are directed by plan participants to either be invested in mutual funds or paid out on their behalf. Fiduciary funds are included in the beginning and ending balances of cash, cash equivalents and restricted cash in the consolidated statements of cash flows. See Note 21 — Supplemental Disclosures of Cash Flow Information for a reconciliation of the fiduciary funds as presented on our consolidated balance sheets and the consolidated statements of cash flows.</w:t>
      </w:r>
    </w:p>
    <w:p>
      <w:pPr>
        <w:spacing w:after="0" w:line="132" w:lineRule="exact"/>
        <w:rPr>
          <w:sz w:val="20"/>
          <w:szCs w:val="20"/>
          <w:color w:val="auto"/>
        </w:rPr>
      </w:pPr>
    </w:p>
    <w:p>
      <w:pPr>
        <w:ind w:left="380" w:right="22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Benefit funds investments – </w:t>
      </w:r>
      <w:r>
        <w:rPr>
          <w:rFonts w:ascii="Times New Roman" w:cs="Times New Roman" w:eastAsia="Times New Roman" w:hAnsi="Times New Roman"/>
          <w:sz w:val="18"/>
          <w:szCs w:val="18"/>
          <w:color w:val="auto"/>
        </w:rPr>
        <w:t>Benefit funds investments can be invested in open-ended mutual funds at the direction of the participant. Such funds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available to service the Company’s debt or for other corporate purposes and earnings accrue to the participant.</w:t>
      </w:r>
    </w:p>
    <w:p>
      <w:pPr>
        <w:spacing w:after="0" w:line="105" w:lineRule="exact"/>
        <w:rPr>
          <w:sz w:val="20"/>
          <w:szCs w:val="20"/>
          <w:color w:val="auto"/>
        </w:rPr>
      </w:pPr>
    </w:p>
    <w:p>
      <w:pPr>
        <w:ind w:left="380"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Fiduciary receivables – </w:t>
      </w:r>
      <w:r>
        <w:rPr>
          <w:rFonts w:ascii="Times New Roman" w:cs="Times New Roman" w:eastAsia="Times New Roman" w:hAnsi="Times New Roman"/>
          <w:sz w:val="18"/>
          <w:szCs w:val="18"/>
          <w:color w:val="auto"/>
        </w:rPr>
        <w:t>Uncollected premiums from insureds, uncollected claims or refunds from insurers and unremitted benefits funds are recorded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fiduciary assets on the consolidated balance sheets. In certain instances, the Company advances premiums, refunds or claims to insurance underwriters or insureds prior to collection. Such advances are made from fiduciary funds and are reflected in the consolidated balance sheets as fiduciary assets.</w:t>
      </w:r>
    </w:p>
    <w:p>
      <w:pPr>
        <w:spacing w:after="0" w:line="126" w:lineRule="exact"/>
        <w:rPr>
          <w:sz w:val="20"/>
          <w:szCs w:val="20"/>
          <w:color w:val="auto"/>
        </w:rPr>
      </w:pPr>
    </w:p>
    <w:p>
      <w:pPr>
        <w:ind w:right="480"/>
        <w:spacing w:after="0" w:line="265" w:lineRule="auto"/>
        <w:rPr>
          <w:sz w:val="20"/>
          <w:szCs w:val="20"/>
          <w:color w:val="auto"/>
        </w:rPr>
      </w:pPr>
      <w:r>
        <w:rPr>
          <w:rFonts w:ascii="Times New Roman" w:cs="Times New Roman" w:eastAsia="Times New Roman" w:hAnsi="Times New Roman"/>
          <w:sz w:val="18"/>
          <w:szCs w:val="18"/>
          <w:color w:val="auto"/>
        </w:rPr>
        <w:t>Fiduciary liabilities on the consolidated balance sheets represent the obligations to remit all fiduciary assets as required under the terms of the various arrangements. Fiduciary receivables and liabilities for which cash has not been collected are equal and offsetting and have not been presented in the consolidated statements of cash flows.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Accounts Receivable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Accounts receivable includes both billed and unbilled receivables and is stated at estimated net realizable values. Provision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billed receivables is recorded, when necessary, in an amount considered by management to be sufficient to meet probable future losses related to uncollectible accounts. Accrued and unbilled receivables are stated at net realizable value which includes an allowance for accrued and unbillable amounts. See Note 4 — Revenue for additional information about our accounts receivable.</w:t>
      </w:r>
    </w:p>
    <w:p>
      <w:pPr>
        <w:spacing w:after="0" w:line="12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u w:val="single" w:color="auto"/>
          <w:color w:val="auto"/>
        </w:rPr>
        <w:t>Acquired Accounts Receivable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As part of the acquisition accounting for the TRANZACT business in 2019, the acquired accounts receivable arising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direct-to-consumer Medicare broking sales were present-valued at the acquisition date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Cash collections for these receivables are expected to occur over a period of several years. Due to the provisions of ASC 606, </w:t>
      </w:r>
      <w:r>
        <w:rPr>
          <w:rFonts w:ascii="Times New Roman" w:cs="Times New Roman" w:eastAsia="Times New Roman" w:hAnsi="Times New Roman"/>
          <w:sz w:val="18"/>
          <w:szCs w:val="18"/>
          <w:i w:val="1"/>
          <w:iCs w:val="1"/>
          <w:color w:val="auto"/>
        </w:rPr>
        <w:t>Revenue From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With Customers </w:t>
      </w:r>
      <w:r>
        <w:rPr>
          <w:rFonts w:ascii="Times New Roman" w:cs="Times New Roman" w:eastAsia="Times New Roman" w:hAnsi="Times New Roman"/>
          <w:sz w:val="18"/>
          <w:szCs w:val="18"/>
          <w:color w:val="auto"/>
        </w:rPr>
        <w:t>(‘ASC 606’), these receivables are not discounted for a significant financing component when initially recognized. Following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the acquired renewal commissions receivables have been accounted for prospectively using the cost-recovery method in which future cash receipts will initially be applied against the acquisition date fair value until the value reaches zero. Any cash received in excess of the fair value determined at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80" w:name="page81"/>
    <w:bookmarkEnd w:id="80"/>
    <w:p>
      <w:pPr>
        <w:ind w:right="360"/>
        <w:spacing w:after="0" w:line="281" w:lineRule="auto"/>
        <w:rPr>
          <w:sz w:val="20"/>
          <w:szCs w:val="20"/>
          <w:color w:val="auto"/>
        </w:rPr>
      </w:pPr>
      <w:r>
        <w:rPr>
          <w:rFonts w:ascii="Times New Roman" w:cs="Times New Roman" w:eastAsia="Times New Roman" w:hAnsi="Times New Roman"/>
          <w:sz w:val="18"/>
          <w:szCs w:val="18"/>
          <w:color w:val="auto"/>
        </w:rPr>
        <w:t>acquisition will be recorded to earnings when it is received at a future date. The adjusted values of these acquired renewal commissions receivables are included in Prepaid and other current assets or Other non-current assets, as appropriate, on the consolidated balance sheets.</w:t>
      </w:r>
    </w:p>
    <w:p>
      <w:pPr>
        <w:spacing w:after="0" w:line="10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u w:val="single" w:color="auto"/>
          <w:color w:val="auto"/>
        </w:rPr>
        <w:t>Income 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recognizes deferred tax assets and liabilities for the estimated future tax consequences of events attributable to differences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the financial statement carrying amounts of existing assets and liabilities and their respective tax bases and operating and capital loss and tax credit carryforwards. Deferred tax assets and liabilities are measured using enacted tax rates in effect for the year in which the differences are expected to be recovered or settled. The effect on deferred tax assets and liabilities of changes in tax rates is recognized for continuing operations in the consolidated statement of comprehensive income in the period in which the change is enacted. Deferred tax assets are reduced through the establishment of a valuation allowance at such time as, based on available evidence, it is more likely than not that the deferred tax assets will not be realized. The Company adjusts valuation allowances to measure deferred tax assets at the amounts considered realizable in future periods, which is assessed at each balance sheet date. In making such determinations, the Company considers all available positive and negative evidence, including future reversals of existing taxable temporary differences, projected future taxable income, tax planning strategies and recent financial operating results. We place more reliance on evidence that is objectively verifiable.</w:t>
      </w:r>
    </w:p>
    <w:p>
      <w:pPr>
        <w:spacing w:after="0" w:line="13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Positions taken in the Company’s tax returns may be subject to challenge by the taxing authorities upon examination. The Company recognizes the benefits of uncertain tax positions in the financial statements when it is more likely than not that a position will be sustained on the basis of the technical merits of the position assuming the tax authorities have full knowledge of the position and all relevant facts. Recognition also occurs upon either the lapse of the relevant statute of limitations or when positions are effectively settled. The benefit recognized is the largest amount of tax benefit that is greater than 50 percent likely to be realized on settlement with the tax authority. The Company adjusts its recognition of uncertain tax benefits in the period in which new information is available impacting either the recognition or measurement of its uncertain tax positions. Such adjustments are reflected as increases or decreases to income taxes in the period in which they are determined.</w:t>
      </w:r>
    </w:p>
    <w:p>
      <w:pPr>
        <w:spacing w:after="0" w:line="133"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8"/>
          <w:szCs w:val="18"/>
          <w:color w:val="auto"/>
        </w:rPr>
        <w:t>The Company recognizes interest and penalties relating to unrecognized tax benefits within income taxes. See Note 7 — Income Taxes for additional information regarding the Company’s income taxes.</w:t>
      </w:r>
    </w:p>
    <w:p>
      <w:pPr>
        <w:spacing w:after="0" w:line="10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Foreign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Transactions in currencies other than the functional currency of the entity are recorded at the rates of exchange prevailing at the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transaction. Monetary assets and liabilities in currencies other than the functional currency are translated at the rates of exchange prevailing at the balance sheet date and the related transaction gains and losses are reported as income or expense in the consolidated statements of comprehensive income. Certain intercompany loans are determined to be of a long-term investment nature. The Company records transaction gains and losses from re-measuring such loans as other comprehensive income in the consolidated statements of comprehensive income.</w:t>
      </w:r>
    </w:p>
    <w:p>
      <w:pPr>
        <w:spacing w:after="0" w:line="13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Upon consolidation, the results of operations of subsidiaries and associates whose functional currency is other than the U.S. dollar are translated into U.S. dollars at the average exchange rates, and assets and liabilities are translated at year-end exchange rates. Translation adjustments are presented as a separate component of other comprehensive income in the financial statements and are included in net income only upon sale or liquidation of the underlying foreign subsidiary or associated company.</w:t>
      </w:r>
    </w:p>
    <w:p>
      <w:pPr>
        <w:spacing w:after="0" w:line="12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i w:val="1"/>
          <w:iCs w:val="1"/>
          <w:u w:val="single" w:color="auto"/>
          <w:color w:val="auto"/>
        </w:rPr>
        <w:t>Derivatives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uses derivative financial instruments to alter the risk profile of an existing underlying exposure. Forward foreign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contracts are used to manage currency exposures arising from future income and expenses and to offset balance sheet exposures in currencies other than the functional currency of an entity. We do not hold any derivatives for trading purposes. The fair values of derivative contracts are recorded in other assets and other liabilities in the consolidated balance sheets. The effective portions of changes in the fair value of derivatives that qualify for hedge accounting as cash flow hedges are recorded in other comprehensive income. Amounts are reclassified from other comprehensive income into earnings when the hedged exposure affects earnings. If the derivative is designated and qualifies as an effective hedge, the changes in the fair value of the derivative and of the hedged item associated with the hedged risk are both recognized in earnings. The amount of hedge ineffectiveness recognized in earnings is based on the extent to which an offset between the fair value of the derivative and hedged item is not achieved. Changes in the fair value of derivatives that do not qualify for hedge accounting, together with any hedge ineffectiveness on those that do qualify, are recorded in Other income, net or interest expense as appropriate.</w:t>
      </w:r>
    </w:p>
    <w:p>
      <w:pPr>
        <w:spacing w:after="0" w:line="139" w:lineRule="exact"/>
        <w:rPr>
          <w:sz w:val="20"/>
          <w:szCs w:val="20"/>
          <w:color w:val="auto"/>
        </w:rPr>
      </w:pPr>
    </w:p>
    <w:p>
      <w:pPr>
        <w:ind w:right="680"/>
        <w:spacing w:after="0" w:line="281" w:lineRule="auto"/>
        <w:rPr>
          <w:sz w:val="20"/>
          <w:szCs w:val="20"/>
          <w:color w:val="auto"/>
        </w:rPr>
      </w:pPr>
      <w:r>
        <w:rPr>
          <w:rFonts w:ascii="Times New Roman" w:cs="Times New Roman" w:eastAsia="Times New Roman" w:hAnsi="Times New Roman"/>
          <w:sz w:val="18"/>
          <w:szCs w:val="18"/>
          <w:color w:val="auto"/>
        </w:rPr>
        <w:t>The Company evaluates whether its contracts include clauses or conditions which would be required to be separately accounted for at fair value as embedded derivatives. See Note 10 — Derivative Financial Instruments for additional information about the Company’s derivatives.</w:t>
      </w:r>
    </w:p>
    <w:p>
      <w:pPr>
        <w:spacing w:after="0" w:line="10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Commitments, Contingencies and Provisions for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establishes provisions against various actual and potential claims, lawsuits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proceedings relating principally to alleged errors and omissions in the ordinary course of business. Such provisions cover claims that have been reported but not paid and also unasserted claims and related legal fees. These provisions are established based on actuarial estimates together with individual case reviews and are believed to be adequate in light of current information and legal advice. In certain cases, where a range of loss exists, we accrue the minimum amount in the range if no amount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81" w:name="page82"/>
    <w:bookmarkEnd w:id="81"/>
    <w:p>
      <w:pPr>
        <w:ind w:right="40"/>
        <w:spacing w:after="0" w:line="256" w:lineRule="auto"/>
        <w:rPr>
          <w:sz w:val="20"/>
          <w:szCs w:val="20"/>
          <w:color w:val="auto"/>
        </w:rPr>
      </w:pPr>
      <w:r>
        <w:rPr>
          <w:rFonts w:ascii="Times New Roman" w:cs="Times New Roman" w:eastAsia="Times New Roman" w:hAnsi="Times New Roman"/>
          <w:sz w:val="18"/>
          <w:szCs w:val="18"/>
          <w:color w:val="auto"/>
        </w:rPr>
        <w:t>within the range is a better estimate than any other amount. To the extent such losses can be recovered under the Company’s insurance programs, estimated recoveries are recorded when losses for insured events are recognized and the recoveries are likely to be realized. Significant management judgment is required to estimate the amounts of such unasserted claims and the related insurance recoveries. The Company analyzes its litigation exposure based on available information, including consultation with outside counsel handling the defense of these matters, to assess its potential liability. These contingent liabilities are not discounted. See Note 15 — Commitments and Contingencies and Note 16 — Supplementary Information for Certain Balance Sheet Accounts for additional information about our commitments, contingencies and provisions for liabilities.</w:t>
      </w:r>
    </w:p>
    <w:p>
      <w:pPr>
        <w:spacing w:after="0" w:line="130"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Share-Based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has equity-based compensation plans that provide for grants of restricted stock units and stock options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and non-employee directors of the Company. Additionally, the Company has cash-settled share-based compensation plans that provide for grants to employees.</w:t>
      </w:r>
    </w:p>
    <w:p>
      <w:pPr>
        <w:spacing w:after="0" w:line="12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expenses equity-based compensation, which is included in Salaries and benefits in the consolidated statements of comprehensive income, primarily on a straight-line basis over the requisite service period. The significant assumptions underlying our expense calculations include the fair value of the award on the date of grant, the estimated achievement of any performance targets and estimated forfeiture rates. The awards under equity-based compensation are classified as equity and are included as a component of equity on the Company’s consolidated balance sheets, as the ultimate payment of such awards will not be achieved through use of the Company’s cash or other assets.</w:t>
      </w:r>
    </w:p>
    <w:p>
      <w:pPr>
        <w:spacing w:after="0" w:line="12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For the cash-settled share-based compensation, the Company recognizes a liability for the fair-value of the awards as of each reporting date. The liability for these awards is included within Other current liabilities or Other non-current liabilities in the consolidated balance sheets depending when the amounts are payable. Expense is recognized over the service period, and as the liability is remeasured at the end of each reporting period, changes in fair value are recognized as compensation cost within Salaries and benefits in the consolidated statements of comprehensive income. The significant assumptions underlying our expense calculations include the estimated achievement of any performance targets and estimated forfeiture rates.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19 — Share-based Compensation for additional information about the Company’s share-based compensation.</w:t>
      </w:r>
    </w:p>
    <w:p>
      <w:pPr>
        <w:spacing w:after="0" w:line="169"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8"/>
          <w:szCs w:val="18"/>
          <w:i w:val="1"/>
          <w:iCs w:val="1"/>
          <w:u w:val="single" w:color="auto"/>
          <w:color w:val="auto"/>
        </w:rPr>
        <w:t>Fixed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Fixed assets are stated at cost less accumulated depreciation. Expenditures for improvements are capitalized; repairs and maintenance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charged to expense as incurred. Depreciation is computed primarily using the straight-line method based on the estimated useful lives of assets.</w:t>
      </w:r>
    </w:p>
    <w:p>
      <w:pPr>
        <w:spacing w:after="0" w:line="107"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Depreciation on internally-developed software is amortized over the estimated useful life of the asset ranging from 3 to 10 years. Buildings include assets held under finance leases and are depreciated over the lesser of 50 years, the asset lives or the lease terms. Depreciation on leasehold improvements is calculated over the lesser of the useful lives of the assets or the remaining lease terms. Depreciation on furniture and equipment is calculated based on a range of 3 to 10 years. Land is not depreciated.</w:t>
      </w:r>
    </w:p>
    <w:p>
      <w:pPr>
        <w:spacing w:after="0" w:line="12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Long-lived assets are tested for recoverability whenever events or changes in circumstance indicate that their carrying amounts may not be recoverable. An impairment loss is recognized if the carrying amount of a long-lived asset is not recoverable and exceeds its fair value. Recoverability is determined based on the undiscounted cash flows expected to result from the use and eventual disposition of the asset or asset group. Long-lived assets and certain identifiable intangible assets to be disposed of are reported at the lower of carrying amount or fair value less cost to sell. See Note 8 — Fixed Assets for additional information about our fixed assets.</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Leases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12529"/>
        </w:rPr>
        <w:t>As an advisory, broking and solutions company providing services to clients in more than 140 countries, we enter into lease agreements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12529"/>
        </w:rPr>
        <w:t>time to time, primarily for the use of real estate for our office space. We determine if an arrangement is a lease at the inception of the contract, and the nature of our operations is such that it is generally clear whether an arrangement contains a lease and what underlying asset is being leased. The majority of the leases into which we enter are operating leases. Upon entering into leases, we obtain the right to control the use of an identified space for a lease term and recognize these right-of-use (‘ROU’) assets on our consolidated balance sheets with corresponding lease liabilities reflecting our obligation to make the related lease payments. ROU assets are amortized over the term of the lease.</w:t>
      </w:r>
    </w:p>
    <w:p>
      <w:pPr>
        <w:spacing w:after="0" w:line="13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212529"/>
        </w:rPr>
        <w:t>Our real estate leases are generally long-term in nature, with terms that typically range from three to 12 years. Our most significant lease supports our London market operations with a lease term through 2032. Our real estate leases often contain options to renew the lease, either through exercise of the option or through automatic renewal. Additionally, certain leases have options to cancel the lease with appropriate notice to the landlord prior to the end of the stated lease term. As we enter into new leases, we consider these options as we assess lease terms in our recognized ROU assets and lease liabilities. If we are reasonably certain to exercise an option to renew a lease, we include this period in our lease term. To the extent that we have the option to cancel a lease, we recognize our ROU assets and lease liabilities using the term that would result from using this earlier date. If a significant penalty is required to cancel the lease at an earlier date, we assess our lease term as ending at the point when no significant penalty would be due.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82" w:name="page83"/>
    <w:bookmarkEnd w:id="82"/>
    <w:p>
      <w:pPr>
        <w:ind w:right="20"/>
        <w:spacing w:after="0" w:line="255" w:lineRule="auto"/>
        <w:rPr>
          <w:sz w:val="20"/>
          <w:szCs w:val="20"/>
          <w:color w:val="auto"/>
        </w:rPr>
      </w:pPr>
      <w:r>
        <w:rPr>
          <w:rFonts w:ascii="Times New Roman" w:cs="Times New Roman" w:eastAsia="Times New Roman" w:hAnsi="Times New Roman"/>
          <w:sz w:val="18"/>
          <w:szCs w:val="18"/>
          <w:color w:val="212529"/>
        </w:rPr>
        <w:t xml:space="preserve">In addition to payments for previously-agreed base rent, many of our lease agreements are subject to variable and unknown future payments, typically in the form of common area maintenance charges (a non-lease component as defined by ASC 842, </w:t>
      </w:r>
      <w:r>
        <w:rPr>
          <w:rFonts w:ascii="Times New Roman" w:cs="Times New Roman" w:eastAsia="Times New Roman" w:hAnsi="Times New Roman"/>
          <w:sz w:val="18"/>
          <w:szCs w:val="18"/>
          <w:i w:val="1"/>
          <w:iCs w:val="1"/>
          <w:color w:val="212529"/>
        </w:rPr>
        <w:t>Leases</w:t>
      </w:r>
      <w:r>
        <w:rPr>
          <w:rFonts w:ascii="Times New Roman" w:cs="Times New Roman" w:eastAsia="Times New Roman" w:hAnsi="Times New Roman"/>
          <w:sz w:val="18"/>
          <w:szCs w:val="18"/>
          <w:color w:val="212529"/>
        </w:rPr>
        <w:t xml:space="preserve"> (‘ASC 842’)) or real estate taxes. These variable payments are excluded from our lease liabilities and ROU assets, and instead are recognized as lease expense within Other operating expenses on the consolidated statement of comprehensive income as the amounts are incurred. To the extent that we have agreed to fixed charges for common area maintenance or other non-lease components, or our base rent increases by an index or rate (most commonly an inflation rate), these amounts are included in the measurement of our lease liabilities and ROU assets. We have elected the practical expedient under ASC 842 which allows the lease and non-lease components to be combined in our measurement of lease liabilities and ROU assets.</w:t>
      </w:r>
    </w:p>
    <w:p>
      <w:pPr>
        <w:spacing w:after="0" w:line="133"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212529"/>
        </w:rPr>
        <w:t>From time to time we may enter into subleases if we are unable to cancel or fully occupy a space and are able to find an appropriate subtenant. However, entering subleases is not a primary objective of our business operations and these arrangements do not currently represent a material amount of cash flows.</w:t>
      </w:r>
    </w:p>
    <w:p>
      <w:pPr>
        <w:spacing w:after="0" w:line="8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212529"/>
        </w:rPr>
        <w:t>We are required to use judgment in the determination of the incremental borrowing rates to calculate the present values of our future lease payments. Since the majority of our debt is publicly traded, our real estate function is centralized, and our treasury function is centralized and generally prohibits our subsidiaries from borrowing externally, we have determined it appropriate to use the Company’s consolidated unsecured borrowing rate, and we adjust for collateralization in accordance with ASC 842. Using the resulting interest rate curves from publicly traded debt at this collateralized borrowing rate, we select the interest rate at lease inception by reference to the lease term and lease currency. Approximately 90% of our leases are denominated in U.S. dollars, Pounds sterling or Euros.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Our leases generally do not subject us to restrictive covenants and contain no residual value guarantees.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14 — Leases for additional information about our operating leases.</w:t>
      </w:r>
    </w:p>
    <w:p>
      <w:pPr>
        <w:spacing w:after="0" w:line="16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Goodwill and Other Intangible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In applying the acquisition method of accounting for business combinations, amounts assigned to identifiable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and liabilities acquired were based on estimated fair values as of the date of acquisition, with the remainder recorded as goodwill. Intangible assets are initially valued at fair value using generally accepted valuation methods appropriate for the type of intangible asset. Intangible assets with definite lives are amortized over their estimated useful lives and are reviewed for impairment if indicators of impairment arise. Intangible assets with indefinite lives are tested for impairment annually as of October 1, and whenever indicators of impairment exist. The fair values of intangible assets are compared with their carrying values, and an impairment loss would be recognized for the amount by which a carrying amount exceeds its fair value.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intangible assets are amortized over the following periods: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5060" w:type="dxa"/>
            <w:vAlign w:val="bottom"/>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Amortization basis</w:t>
            </w:r>
          </w:p>
        </w:tc>
        <w:tc>
          <w:tcPr>
            <w:tcW w:w="100" w:type="dxa"/>
            <w:vAlign w:val="bottom"/>
          </w:tcPr>
          <w:p>
            <w:pPr>
              <w:spacing w:after="0"/>
              <w:rPr>
                <w:sz w:val="13"/>
                <w:szCs w:val="13"/>
                <w:color w:val="auto"/>
              </w:rPr>
            </w:pPr>
          </w:p>
        </w:tc>
        <w:tc>
          <w:tcPr>
            <w:tcW w:w="214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Expected life</w:t>
            </w:r>
          </w:p>
        </w:tc>
        <w:tc>
          <w:tcPr>
            <w:tcW w:w="0" w:type="dxa"/>
            <w:vAlign w:val="bottom"/>
          </w:tcPr>
          <w:p>
            <w:pPr>
              <w:spacing w:after="0"/>
              <w:rPr>
                <w:sz w:val="1"/>
                <w:szCs w:val="1"/>
                <w:color w:val="auto"/>
              </w:rPr>
            </w:pPr>
          </w:p>
        </w:tc>
      </w:tr>
      <w:tr>
        <w:trPr>
          <w:trHeight w:val="187"/>
        </w:trPr>
        <w:tc>
          <w:tcPr>
            <w:tcW w:w="3940" w:type="dxa"/>
            <w:vAlign w:val="bottom"/>
          </w:tcPr>
          <w:p>
            <w:pPr>
              <w:spacing w:after="0"/>
              <w:rPr>
                <w:sz w:val="16"/>
                <w:szCs w:val="16"/>
                <w:color w:val="auto"/>
              </w:rPr>
            </w:pPr>
          </w:p>
        </w:tc>
        <w:tc>
          <w:tcPr>
            <w:tcW w:w="50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452"/>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Client relationships</w:t>
            </w:r>
          </w:p>
        </w:tc>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 line with underlying cash flows</w:t>
            </w:r>
          </w:p>
        </w:tc>
        <w:tc>
          <w:tcPr>
            <w:tcW w:w="100" w:type="dxa"/>
            <w:vAlign w:val="bottom"/>
            <w:shd w:val="clear" w:color="auto" w:fill="CFF0FC"/>
          </w:tcPr>
          <w:p>
            <w:pPr>
              <w:spacing w:after="0"/>
              <w:rPr>
                <w:sz w:val="24"/>
                <w:szCs w:val="24"/>
                <w:color w:val="auto"/>
              </w:rPr>
            </w:pPr>
          </w:p>
        </w:tc>
        <w:tc>
          <w:tcPr>
            <w:tcW w:w="214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3 to 21</w:t>
            </w:r>
          </w:p>
        </w:tc>
        <w:tc>
          <w:tcPr>
            <w:tcW w:w="0" w:type="dxa"/>
            <w:vAlign w:val="bottom"/>
          </w:tcPr>
          <w:p>
            <w:pPr>
              <w:spacing w:after="0"/>
              <w:rPr>
                <w:sz w:val="1"/>
                <w:szCs w:val="1"/>
                <w:color w:val="auto"/>
              </w:rPr>
            </w:pPr>
          </w:p>
        </w:tc>
      </w:tr>
      <w:tr>
        <w:trPr>
          <w:trHeight w:val="452"/>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line with underlying cash flows or straight-line basis</w:t>
            </w:r>
          </w:p>
        </w:tc>
        <w:tc>
          <w:tcPr>
            <w:tcW w:w="100" w:type="dxa"/>
            <w:vAlign w:val="bottom"/>
          </w:tcPr>
          <w:p>
            <w:pPr>
              <w:spacing w:after="0"/>
              <w:rPr>
                <w:sz w:val="24"/>
                <w:szCs w:val="24"/>
                <w:color w:val="auto"/>
              </w:rPr>
            </w:pPr>
          </w:p>
        </w:tc>
        <w:tc>
          <w:tcPr>
            <w:tcW w:w="2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5 to 7</w:t>
            </w:r>
          </w:p>
        </w:tc>
        <w:tc>
          <w:tcPr>
            <w:tcW w:w="0" w:type="dxa"/>
            <w:vAlign w:val="bottom"/>
          </w:tcPr>
          <w:p>
            <w:pPr>
              <w:spacing w:after="0"/>
              <w:rPr>
                <w:sz w:val="1"/>
                <w:szCs w:val="1"/>
                <w:color w:val="auto"/>
              </w:rPr>
            </w:pPr>
          </w:p>
        </w:tc>
      </w:tr>
      <w:tr>
        <w:trPr>
          <w:trHeight w:val="465"/>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Trademark and trade name</w:t>
            </w:r>
          </w:p>
        </w:tc>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Straight-line basis</w:t>
            </w:r>
          </w:p>
        </w:tc>
        <w:tc>
          <w:tcPr>
            <w:tcW w:w="100" w:type="dxa"/>
            <w:vAlign w:val="bottom"/>
            <w:shd w:val="clear" w:color="auto" w:fill="CFF0FC"/>
          </w:tcPr>
          <w:p>
            <w:pPr>
              <w:spacing w:after="0"/>
              <w:rPr>
                <w:sz w:val="24"/>
                <w:szCs w:val="24"/>
                <w:color w:val="auto"/>
              </w:rPr>
            </w:pPr>
          </w:p>
        </w:tc>
        <w:tc>
          <w:tcPr>
            <w:tcW w:w="214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5 to 25</w:t>
            </w:r>
          </w:p>
        </w:tc>
        <w:tc>
          <w:tcPr>
            <w:tcW w:w="0" w:type="dxa"/>
            <w:vAlign w:val="bottom"/>
          </w:tcPr>
          <w:p>
            <w:pPr>
              <w:spacing w:after="0"/>
              <w:rPr>
                <w:sz w:val="1"/>
                <w:szCs w:val="1"/>
                <w:color w:val="auto"/>
              </w:rPr>
            </w:pPr>
          </w:p>
        </w:tc>
      </w:tr>
      <w:tr>
        <w:trPr>
          <w:trHeight w:val="445"/>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line with underlying cash flows or straight-line basis</w:t>
            </w:r>
          </w:p>
        </w:tc>
        <w:tc>
          <w:tcPr>
            <w:tcW w:w="100" w:type="dxa"/>
            <w:vAlign w:val="bottom"/>
          </w:tcPr>
          <w:p>
            <w:pPr>
              <w:spacing w:after="0"/>
              <w:rPr>
                <w:sz w:val="24"/>
                <w:szCs w:val="24"/>
                <w:color w:val="auto"/>
              </w:rPr>
            </w:pPr>
          </w:p>
        </w:tc>
        <w:tc>
          <w:tcPr>
            <w:tcW w:w="2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5 to 20</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Goodwill is tested for impairment annually as of October 1, and whenever indicators of impairment exist. Goodwill is tested at the reporting unit level, and the Company had seven reporting units as of October 1, 2022. In the impairment test, the fair value of each reporting unit is compared with its carrying value, including goodwill. If the carrying value of a reporting unit exceeds its fair value, the difference is recognized as an impairment loss. The Company’s goodwill impairment tests for the years ended December 31, 2022 and 2021 have not resulted in any impairment charges. See Note 9 — Goodwill and Other Intangible Assets for additional information about our goodwill and other intangible assets.</w:t>
      </w:r>
    </w:p>
    <w:p>
      <w:pPr>
        <w:spacing w:after="0" w:line="126"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Pensions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Company has multiple defined benefit pension and defined contribution plans. The net periodic cost of the Company’s defined benefit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plans is measured on an actuarial basis using various methods and actuarial assumptions. The most significant assumptions are the discount rates (formulated using the granular approach to calculating service and interest cost) and the expected long-term rates of return on plan assets. Other material assumptions include rates of participant mortality, the expected long-term rates of compensation and pension increases and rates of employee termination. Gains and losses occur when actual experience differs from actuarial assumptions. If such gains or losses exceed ten percent of the greater of the market-related value of plan assets or the projected benefit obligation, the Company amortizes those gains or losses over the average remaining service period or average remaining life expectancy, as appropriate, of the plan participants. In accordance with U.S. GAAP, the Company records the funded status of its pension plans based on the projected benefit obligation on its consolidated balance sheets.</w:t>
      </w:r>
    </w:p>
    <w:p>
      <w:pPr>
        <w:spacing w:after="0" w:line="137"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8"/>
          <w:szCs w:val="18"/>
          <w:color w:val="auto"/>
        </w:rPr>
        <w:t>Contributions to the Company’s defined contribution plans are recognized as incurred. Differences between contributions payable in the year and contributions actually paid are shown as either other assets or other liabilities in the consolidated balance sheets. See Note 13 — Retirement Benefits for additional information about our pensions.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83" w:name="page84"/>
    <w:bookmarkEnd w:id="83"/>
    <w:p>
      <w:pPr>
        <w:ind w:right="220"/>
        <w:spacing w:after="0" w:line="271" w:lineRule="auto"/>
        <w:rPr>
          <w:sz w:val="20"/>
          <w:szCs w:val="20"/>
          <w:color w:val="auto"/>
        </w:rPr>
      </w:pPr>
      <w:r>
        <w:rPr>
          <w:rFonts w:ascii="Times New Roman" w:cs="Times New Roman" w:eastAsia="Times New Roman" w:hAnsi="Times New Roman"/>
          <w:sz w:val="18"/>
          <w:szCs w:val="18"/>
          <w:i w:val="1"/>
          <w:iCs w:val="1"/>
          <w:u w:val="single" w:color="auto"/>
          <w:color w:val="auto"/>
        </w:rPr>
        <w:t>Revenue Recognition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recognize revenue from a variety of services, with broking, consulting and outsourced administration representing our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significant offerings. All other revenue streams, which can be recognized at either a point in time or over time, are individually less significant and are grouped in Other in our revenue disaggregation disclosures in Note 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Revenue. These Other revenue streams represent approximately 6% of customer contract revenue from continuing operations each year.</w:t>
      </w:r>
    </w:p>
    <w:p>
      <w:pPr>
        <w:spacing w:after="0" w:line="1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Broking </w:t>
      </w:r>
      <w:r>
        <w:rPr>
          <w:rFonts w:ascii="Times New Roman" w:cs="Times New Roman" w:eastAsia="Times New Roman" w:hAnsi="Times New Roman"/>
          <w:sz w:val="18"/>
          <w:szCs w:val="18"/>
          <w:color w:val="auto"/>
        </w:rPr>
        <w:t>— Representing 47% to 48% of customer contract revenue from continuing operations each year, in our broking arrangements, we earn revenue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acting as an intermediary in the placement of effective insurance policies. Generally, we act as an agent and view our client to be the party looking to obtain insurance coverage for various risks, or an employer or sponsoring organization looking to obtain insurance coverage for its employees or members. Also, prior to the disposal of Willis Re (see Note 3— Acquisitions and Divestitures) we acted as an agent in reinsurance broking arrangements where our client was the party looking to cede risks to the reinsurance markets. Our primary performance obligation under the majority of these arrangements is to place an effective insurance or reinsurance policy, but there can also be significant post-placement obligations in certain contracts to which we need to allocate revenue. The most common of these is for claims handling or call center support. The revenue recognition method for these, after the relative fair value allocation, is described further as part of the ‘Outsourced Administration’ description below.</w:t>
      </w:r>
    </w:p>
    <w:p>
      <w:pPr>
        <w:spacing w:after="0" w:line="13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Due to the nature of the majority of our broking arrangements, no single document constitutes the contract for ASC 606 purposes. Our services may be governed by a mixture of different types of contractual arrangements depending on the jurisdiction or type of coverage, including terms of business agreements, broker-of-record letters, statements of work or local custom and practice. This is then confirmed by the client’s acceptance of the underlying insurance contract. Prior to the policy inception date, the client has not accepted nor formally committed to perform under the arrangement (i.e. pay for the insurance coverage in place). Therefore, in the majority of broking arrangements, the contract date is the date the insurance policy incepts. However, in certain instances such as employer-sponsored Medicare broking or Affinity arrangements, where the employer or sponsoring organization is our customer, client acceptance of underlying individual policy placements is not required, and therefore the date at which we have a contract with a customer is not dependent upon placement.</w:t>
      </w:r>
    </w:p>
    <w:p>
      <w:pPr>
        <w:spacing w:after="0" w:line="13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As noted, our primary performance obligations typically consist of only the placement of an effective insurance policy which precedes the inception date of the policy. Therefore, most of our fulfillment costs are incurred before we can recognize revenue, and are thus deferred during the pre-placement process. Where we have material post-placement services obligations, we estimate the relative fair value of the post-placement services using either the expected cost-plus-margin or the market assessment approach.</w:t>
      </w:r>
    </w:p>
    <w:p>
      <w:pPr>
        <w:spacing w:after="0" w:line="12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Revenue from our broking services consists of commissions or fees negotiated in lieu of commissions. At times, we may receive additional income for performing these services from the insurance and reinsurance carriers’ markets, which is collectively referred to as ‘market derived income’. In situations in which our fees are not fixed but are variable, we must estimate the likely commission per policy, taking into account the likelihood of cancellation before the end of the policy term. For employer-sponsored Medicare broking, Affinity arrangements and historically for proportional treaty reinsurance broking, the commissions to which we will be entitled can vary based on the underlying individual insurance policies that are placed. For employer-sponsored Medicare broking and proportional treaty reinsurance broking in particular, we base the estimates of transaction prices on supportable evidence from an analysis of past transactions, and only include amounts that are probable of being received or not refunded (referred to as applying ‘constraint’ under ASC 606). This is an area requiring significant judgment and results in us estimating a transaction price that may be significantly lower than the ultimate amount of commissions we may collect. The transaction price is then adjusted over time as we receive confirmation of our remuneration through receipt of treaty statements, or as other information becomes available.</w:t>
      </w:r>
    </w:p>
    <w:p>
      <w:pPr>
        <w:spacing w:after="0" w:line="13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We recognize revenue for most broking arrangements as of a point in time at the later of the policy inception date or when the policy placement is complete, because this is viewed as the date when control is transferred to the client. For employer-sponsored Medicare broking, we recognize revenue over time, as we stand ready under our agreements to place retiree Medicare coverage. For this type of broking arrangement, we recognize the majority of our placement revenue in the fourth quarter of the calendar year when most of the placement or renewal activity occurs.</w:t>
      </w:r>
    </w:p>
    <w:p>
      <w:pPr>
        <w:spacing w:after="0" w:line="12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also have a direct-to-consumer Medicare broking offering. The contractual arrangements in this offering differ from our employer-sponsored Medicare broking offering described above. The governing contracts in our direct-to-consumer Medicare broking offering are the contractual arrangements with insurance carriers, for whom we act as an agent, that provide compensation in return for issued policies. Once an application is submitted to a carrier, our obligation is complete, and we have no ongoing fulfilment obligations. We receive compensation from carriers in the form of commissions, administrative fees and marketing fees in the first year, and depending on the type of policy issued, we may receive renewal commissions for up to 25 years, provided the policies are renewed for such periods of time.</w:t>
      </w:r>
    </w:p>
    <w:p>
      <w:pPr>
        <w:spacing w:after="0" w:line="132"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Because our obligation is complete upon application submission to the carrier, we recognize revenue at that date, which includes both compensation due to us in the first year as well as an estimate of the total renewal commissions that will be received over the lifetime of the policy. This variable consideration estimate requires significant judgment, and will vary based on product type, estimated commission rates, the expected lives of the respective policies and other factors. The Company has applied an actuarial model to</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84" w:name="page85"/>
    <w:bookmarkEnd w:id="84"/>
    <w:p>
      <w:pPr>
        <w:ind w:right="260"/>
        <w:spacing w:after="0" w:line="281" w:lineRule="auto"/>
        <w:rPr>
          <w:sz w:val="20"/>
          <w:szCs w:val="20"/>
          <w:color w:val="auto"/>
        </w:rPr>
      </w:pPr>
      <w:r>
        <w:rPr>
          <w:rFonts w:ascii="Times New Roman" w:cs="Times New Roman" w:eastAsia="Times New Roman" w:hAnsi="Times New Roman"/>
          <w:sz w:val="18"/>
          <w:szCs w:val="18"/>
          <w:color w:val="auto"/>
        </w:rPr>
        <w:t>account for these uncertainties, which is updated periodically based on actual experience, and includes an element of ‘constraint’ as defined by ASC 606 such that no significant reversal is expected to occur in the future. Actual results will differ from these estimates.</w:t>
      </w:r>
    </w:p>
    <w:p>
      <w:pPr>
        <w:spacing w:after="0" w:line="109"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color w:val="auto"/>
        </w:rPr>
        <w:t>The timing of renewal payments in our direct-to-consumer Medicare broking offering is reflective of regulatory restrictions and insurance carriers’ protection for cancellations and varies based on policy holder decisions that are outside of the control of both the Company and the insurance carriers. As such, the estimate of these renewal commissions receivables has not been discounted to reflect a significant financing component.</w:t>
      </w:r>
    </w:p>
    <w:p>
      <w:pPr>
        <w:spacing w:after="0" w:line="12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Consulting </w:t>
      </w:r>
      <w:r>
        <w:rPr>
          <w:rFonts w:ascii="Times New Roman" w:cs="Times New Roman" w:eastAsia="Times New Roman" w:hAnsi="Times New Roman"/>
          <w:sz w:val="18"/>
          <w:szCs w:val="18"/>
          <w:color w:val="auto"/>
        </w:rPr>
        <w:t>— We earn revenue for advisory and consulting work that may be structured as different types of service offerings, including annual recurring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projects, projects of a short duration or stand-ready obligations. Collectively, our consulting arrangements represent approximately 32% to 33% of customer contract revenue from continuing operations each year.</w:t>
      </w:r>
    </w:p>
    <w:p>
      <w:pPr>
        <w:spacing w:after="0" w:line="120"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We have engagement letters with our clients that specify the terms and conditions upon which the engagements are based. These terms and conditions can only be changed upon agreement by both parties.</w:t>
      </w:r>
    </w:p>
    <w:p>
      <w:pPr>
        <w:spacing w:after="0" w:line="109"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8"/>
          <w:szCs w:val="18"/>
          <w:color w:val="auto"/>
        </w:rPr>
        <w:t>In assessing our performance obligations, our consulting work is typically highly integrated, with the various promised services representing inputs of the combined overall output. We view these arrangements as representing a single performance obligation. To the extent we do not integrate our services, as is the case with unrelated services that may be sourced from different areas of our business, we consider these separate performance obligations.</w:t>
      </w:r>
    </w:p>
    <w:p>
      <w:pPr>
        <w:spacing w:after="0" w:line="123"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8"/>
          <w:szCs w:val="18"/>
          <w:color w:val="auto"/>
        </w:rPr>
        <w:t>Fee terms can be in the form of fixed-fees (including fixed-fees offset by commissions), time-and-expense fees, commissions, per-participant fees, or fees based on assets under management. Payment is typically due on a monthly basis as we perform under the contract, and we are entitled to be reimbursed for work performed to date in the event of termination.</w:t>
      </w:r>
    </w:p>
    <w:p>
      <w:pPr>
        <w:spacing w:after="0" w:line="12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majority of our revenue from these consulting engagements is recognized over time, either because our clients are simultaneously receiving and consuming the benefits of our services, or because we have an enforceable right to payment for performance rendered to date. Additionally, from time to time, we may be entitled to an additional fee based on achieving certain performance criteria. To the extent that we cannot estimate with reasonable assurance the likelihood that we will achieve the performance target, we will ‘constrain’ this portion of the transaction price and recognize it when or as the uncertainty is resolved.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 different progress measures to determine our revenue depending on the nature of the engagement:</w:t>
      </w:r>
    </w:p>
    <w:p>
      <w:pPr>
        <w:spacing w:after="0" w:line="115" w:lineRule="exact"/>
        <w:rPr>
          <w:sz w:val="20"/>
          <w:szCs w:val="20"/>
          <w:color w:val="auto"/>
        </w:rPr>
      </w:pPr>
    </w:p>
    <w:p>
      <w:pPr>
        <w:ind w:left="760" w:right="40" w:hanging="378"/>
        <w:spacing w:after="0" w:line="254"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Annual recurring projects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projects of short duration. </w:t>
      </w:r>
      <w:r>
        <w:rPr>
          <w:rFonts w:ascii="Times New Roman" w:cs="Times New Roman" w:eastAsia="Times New Roman" w:hAnsi="Times New Roman"/>
          <w:sz w:val="18"/>
          <w:szCs w:val="18"/>
          <w:color w:val="auto"/>
        </w:rPr>
        <w:t>These projects are typically straightforward and highly predictable in nature with 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time-and-expense or fixed fee terms. Time-and-expense fees are recognized as hours or expenses are incurred using the ‘right to invoice’ practical expedient allowed under ASC 606. For fixed-fee arrangements, to the extent estimates can be made of the remaining work required under the arrangement, revenue is based upon the proportional performance method, using the value of labor hours spent to date compared to the estimated total value of labor hours for the entire engagement. We believe that cost represents a faithful depiction of the transfer of value because the completion of these performance obligations is based upon the professional services of employees of differing experience levels and thereby costs. It is appropriate that satisfaction of these performance obligations considers both the number of hours incurred by each employee and the value of each labor hour worked (as opposed to simply the hours worked).</w:t>
      </w:r>
    </w:p>
    <w:p>
      <w:pPr>
        <w:spacing w:after="0" w:line="81" w:lineRule="exact"/>
        <w:rPr>
          <w:rFonts w:ascii="Times New Roman" w:cs="Times New Roman" w:eastAsia="Times New Roman" w:hAnsi="Times New Roman"/>
          <w:sz w:val="18"/>
          <w:szCs w:val="18"/>
          <w:color w:val="auto"/>
        </w:rPr>
      </w:pPr>
    </w:p>
    <w:p>
      <w:pPr>
        <w:ind w:left="760" w:right="20" w:hanging="378"/>
        <w:spacing w:after="0" w:line="258"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Stand-ready obligations. </w:t>
      </w:r>
      <w:r>
        <w:rPr>
          <w:rFonts w:ascii="Times New Roman" w:cs="Times New Roman" w:eastAsia="Times New Roman" w:hAnsi="Times New Roman"/>
          <w:sz w:val="18"/>
          <w:szCs w:val="18"/>
          <w:color w:val="auto"/>
        </w:rPr>
        <w:t>These projects consist of repetitive monthly or quarterly services performed consistently each period. As none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provided under these services are performed at specified times and quantities, but at the discretion of each customer, our obligation is to stand ready to perform these services on an as-needed basis. These arrangements represent a ‘series’ performance obligation in accordance with ASC 606. Each time increment (i.e., each month or quarter) of standing ready to provide the overall services is distinct and the customer obtains value from each period of service independent of the other periods of service.</w:t>
      </w:r>
    </w:p>
    <w:p>
      <w:pPr>
        <w:spacing w:after="0" w:line="13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Where we recognize revenue on a proportional performance basis, the amount we recognize is affected by a number of factors that can change the estimated amount of work required to complete the project such as the staffing on the engagement and/or the level of client participation. Our periodic engagement evaluations require us to make judgments and estimates regarding the overall profitability and stage of project completion that, in turn, affect how we recognize revenue. We recognize a loss on an engagement when estimated revenue to be received for that engagement is less than the total estimated costs associated with the engagement. Losses are recognized in the period in which the loss becomes probable and the amount of the loss is reasonably estimable.</w:t>
      </w:r>
    </w:p>
    <w:p>
      <w:pPr>
        <w:spacing w:after="0" w:line="13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Outsourced Administration </w:t>
      </w:r>
      <w:r>
        <w:rPr>
          <w:rFonts w:ascii="Times New Roman" w:cs="Times New Roman" w:eastAsia="Times New Roman" w:hAnsi="Times New Roman"/>
          <w:sz w:val="18"/>
          <w:szCs w:val="18"/>
          <w:color w:val="auto"/>
        </w:rPr>
        <w:t>— We provide customized benefits outsourcing and co-sourcing solutions services in relation to the administration of defined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 defined contribution, and health and welfare plans. These plans are sponsored by our clients to provide benefits to their active or retired employees. Additionally, these services include operating call centers and may include providing access to, and managing, a variety of consumer-directed savings accounts. The operation of call centers and consumer-directed accounts can be provisioned as part of an ongoing administration or solutions service, or separately as part of a broking arrangement. The products and services available to all clients are the same, but the selections by a client can vary and portray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85" w:name="page86"/>
    <w:bookmarkEnd w:id="85"/>
    <w:p>
      <w:pPr>
        <w:ind w:right="160"/>
        <w:spacing w:after="0" w:line="265" w:lineRule="auto"/>
        <w:rPr>
          <w:sz w:val="20"/>
          <w:szCs w:val="20"/>
          <w:color w:val="auto"/>
        </w:rPr>
      </w:pPr>
      <w:r>
        <w:rPr>
          <w:rFonts w:ascii="Times New Roman" w:cs="Times New Roman" w:eastAsia="Times New Roman" w:hAnsi="Times New Roman"/>
          <w:sz w:val="18"/>
          <w:szCs w:val="18"/>
          <w:color w:val="auto"/>
        </w:rPr>
        <w:t>customized products and services based on the customer’s specific needs. Our services often include the use of proprietary systems that are configured for each of our clients’ needs. In total, our outsourced administration services represent approximately 12% to 13% of customer contract revenue from continuing operations each year.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contracts typically consist of an implementation phase and an ongoing administration phase:</w:t>
      </w:r>
    </w:p>
    <w:p>
      <w:pPr>
        <w:spacing w:after="0" w:line="115" w:lineRule="exact"/>
        <w:rPr>
          <w:sz w:val="20"/>
          <w:szCs w:val="20"/>
          <w:color w:val="auto"/>
        </w:rPr>
      </w:pPr>
    </w:p>
    <w:p>
      <w:pPr>
        <w:ind w:left="760" w:right="100" w:hanging="378"/>
        <w:spacing w:after="0" w:line="261"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Implementation phase. </w:t>
      </w:r>
      <w:r>
        <w:rPr>
          <w:rFonts w:ascii="Times New Roman" w:cs="Times New Roman" w:eastAsia="Times New Roman" w:hAnsi="Times New Roman"/>
          <w:sz w:val="18"/>
          <w:szCs w:val="18"/>
          <w:color w:val="auto"/>
        </w:rPr>
        <w:t>Work performed during the implementation phase is considered a set-up activity because it does not transfer a service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customer, and therefore costs are deferred during this phase of the arrangement. Since these arrangements are longer term in nature and subject to more changes in scope as the project progresses, our contracts generally provide that if the client terminates a contract, we are entitled to an additional payment for services performed through the termination date designed to recover our up-front costs of implementation.</w:t>
      </w:r>
    </w:p>
    <w:p>
      <w:pPr>
        <w:spacing w:after="0" w:line="70" w:lineRule="exact"/>
        <w:rPr>
          <w:rFonts w:ascii="Times New Roman" w:cs="Times New Roman" w:eastAsia="Times New Roman" w:hAnsi="Times New Roman"/>
          <w:sz w:val="18"/>
          <w:szCs w:val="18"/>
          <w:color w:val="auto"/>
        </w:rPr>
      </w:pPr>
    </w:p>
    <w:p>
      <w:pPr>
        <w:ind w:left="760" w:right="60" w:hanging="378"/>
        <w:spacing w:after="0" w:line="255"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Ongoing administration phase. </w:t>
      </w:r>
      <w:r>
        <w:rPr>
          <w:rFonts w:ascii="Times New Roman" w:cs="Times New Roman" w:eastAsia="Times New Roman" w:hAnsi="Times New Roman"/>
          <w:sz w:val="18"/>
          <w:szCs w:val="18"/>
          <w:color w:val="auto"/>
        </w:rPr>
        <w:t>The ongoing administration phase includes a variety of plan administration services, system hosting and support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More specifically, these services include data management, calculations, reporting, fulfillment/communications, compliance services, call center support, and in our health and welfare arrangements, annual onboarding and enrollment support. While there are a variety of activities performed, the overall nature of the obligation is to provide an integrated outsourcing solution to the customer. The arrangement represents a stand-ready obligation to perform these activities on an as-needed basis. The customer obtains value from each period of service, and each time increment (i.e., each month, or each benefits cycle in our health and welfare arrangements) is distinct and substantially the same. Accordingly, the ongoing administration services represent a ‘series’ in accordance with ASC 606 and are deemed one performance obligation.</w:t>
      </w:r>
    </w:p>
    <w:p>
      <w:pPr>
        <w:spacing w:after="0" w:line="13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have engagement letters with our clients that specify the terms and conditions upon which the engagements are based. These terms and conditions can only be changed upon agreement by both parties. Fees for these arrangements can be fixed, per-participant-per-month, or in the case of call center services, provided in conjunction with our broking services, with an allocation based on commissions. Our fees are not typically payable until the commencement of the ongoing administration phase. However, in our health and welfare arrangements, we begin transferring services to our customers approximately four months prior to payments being due as part of our annual onboarding and enrollment work. Although our per-participant-per-month and commission-based fees are considered variable, they are typically predictable in nature, and therefore we generally do not ‘constrain’ any portion of our transaction price estimates. Once fees become payable, payment is typically due on a monthly basis as we perform under the contract, and we are entitled to be reimbursed for work performed to date in the event of termination.</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Revenue is recognized over time as the services are performed because our clients are simultaneously receiving and consuming the benefits of our services. For our health and welfare arrangements where each benefits cycle represents a time increment under the series guidance, revenue is recognized based on proportional performance. We use an input measure (value of labor hours worked) as the measure of progress. Given that the service is stand-ready in nature, it can be difficult to predict the remaining obligation under the benefits cycle. Therefore, the input measure is based on the historical effort expended each month, which is measured as labor cost. This results in slightly more revenue being recognized during periods of annual onboarding since we are performing both our normal monthly services and our annual services during this portion of the benefits cycle.</w:t>
      </w:r>
    </w:p>
    <w:p>
      <w:pPr>
        <w:spacing w:after="0" w:line="13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For all other outsourced administration arrangements where a month represents our time increment under the series guidance, we allocate transaction price to the month we are performing our services. Therefore, the amount recognized each month is the variable consideration related to that month plus the fixed monthly or annual fee. The fixed monthly or annual fee is recognized on a straight-line basis. Revenue recognition for these types of arrangements is therefore more consistent throughout the year.</w:t>
      </w:r>
    </w:p>
    <w:p>
      <w:pPr>
        <w:spacing w:after="0" w:line="126"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Reimbursed expenses </w:t>
      </w:r>
      <w:r>
        <w:rPr>
          <w:rFonts w:ascii="Times New Roman" w:cs="Times New Roman" w:eastAsia="Times New Roman" w:hAnsi="Times New Roman"/>
          <w:sz w:val="18"/>
          <w:szCs w:val="18"/>
          <w:color w:val="auto"/>
        </w:rPr>
        <w:t>— Client reimbursable expenses, including those relating to travel, other out-of-pocket expenses and any third-party costs,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revenue, and an equivalent amount of reimbursable expenses is included in other operating expenses as a cost of revenue as incurred. Reimbursed expenses represented approximately 1% or less of customer contract revenue from continuing operations each year. Taxes collected from customers and remitted to government authorities are recorded net and are excluded from revenue.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Interest income</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Interest income is recognized as earned.</w:t>
      </w:r>
    </w:p>
    <w:p>
      <w:pPr>
        <w:spacing w:after="0" w:line="171" w:lineRule="exact"/>
        <w:rPr>
          <w:sz w:val="20"/>
          <w:szCs w:val="20"/>
          <w:color w:val="auto"/>
        </w:rPr>
      </w:pPr>
    </w:p>
    <w:p>
      <w:pPr>
        <w:ind w:right="480"/>
        <w:spacing w:after="0" w:line="283" w:lineRule="auto"/>
        <w:rPr>
          <w:sz w:val="20"/>
          <w:szCs w:val="20"/>
          <w:color w:val="auto"/>
        </w:rPr>
      </w:pPr>
      <w:r>
        <w:rPr>
          <w:rFonts w:ascii="Times New Roman" w:cs="Times New Roman" w:eastAsia="Times New Roman" w:hAnsi="Times New Roman"/>
          <w:sz w:val="18"/>
          <w:szCs w:val="18"/>
          <w:i w:val="1"/>
          <w:iCs w:val="1"/>
          <w:u w:val="single" w:color="auto"/>
          <w:color w:val="auto"/>
        </w:rPr>
        <w:t>Other income</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Other income includes gains on disposal of intangible assets, which primarily arise from settlements through enforcing non-compete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in the event of losing accounts through producer defection or the disposal of books of business.</w:t>
      </w:r>
    </w:p>
    <w:p>
      <w:pPr>
        <w:spacing w:after="0" w:line="10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Cost to obtain or fulfill contracts</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Costs to obtain customers include commissions for brokers under specific agreements that would not be incurred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a contract being signed and executed. The Company has elected to apply the ASC 606 ‘practical expedient’ which allows us to expense these costs as incurred if the amortization period related to the resulting asset would be one year or less. The Company has no significant instances of contracts that would be amortized for a period greater than a year, and therefore has no contract costs capitalized for these arrangements.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86" w:name="page87"/>
    <w:bookmarkEnd w:id="86"/>
    <w:p>
      <w:pPr>
        <w:ind w:right="120"/>
        <w:spacing w:after="0" w:line="281" w:lineRule="auto"/>
        <w:rPr>
          <w:sz w:val="20"/>
          <w:szCs w:val="20"/>
          <w:color w:val="auto"/>
        </w:rPr>
      </w:pPr>
      <w:r>
        <w:rPr>
          <w:rFonts w:ascii="Times New Roman" w:cs="Times New Roman" w:eastAsia="Times New Roman" w:hAnsi="Times New Roman"/>
          <w:sz w:val="18"/>
          <w:szCs w:val="18"/>
          <w:color w:val="auto"/>
        </w:rPr>
        <w:t>Costs to fulfill include costs incurred by the Company that are expected to be recovered within the expected contract period. The costs associated with our system implementation activities and consulting contracts are recorded through time entry.</w:t>
      </w:r>
    </w:p>
    <w:p>
      <w:pPr>
        <w:spacing w:after="0" w:line="109"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For our broking business, the Company must estimate the fulfillment costs incurred during the pre-placement of the broking contracts. These judgments include:</w:t>
      </w:r>
    </w:p>
    <w:p>
      <w:pPr>
        <w:spacing w:after="0" w:line="55" w:lineRule="exact"/>
        <w:rPr>
          <w:sz w:val="20"/>
          <w:szCs w:val="20"/>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activities in the pre-placement process should be eligible for capitalization;</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time and effort expended on those pre-placement activities;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payroll and related costs eligible for capitalization;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monthly or quarterly timing of underlying insurance and reinsurance policy inception dates.</w:t>
      </w:r>
    </w:p>
    <w:p>
      <w:pPr>
        <w:spacing w:after="0" w:line="171"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We amortize costs to fulfill over the period we receive the related benefits. For broking pre-placement costs, this is typically less than a year. In our system implementation and consulting arrangements, we include the likelihood of contract renewals in our estimate of the amortization period, resulting in most costs being amortized for a greater length of time than the initial contract term.</w:t>
      </w:r>
    </w:p>
    <w:p>
      <w:pPr>
        <w:spacing w:after="0" w:line="121" w:lineRule="exact"/>
        <w:rPr>
          <w:sz w:val="20"/>
          <w:szCs w:val="20"/>
          <w:color w:val="auto"/>
        </w:rPr>
      </w:pPr>
    </w:p>
    <w:p>
      <w:pPr>
        <w:spacing w:after="0" w:line="314" w:lineRule="auto"/>
        <w:rPr>
          <w:sz w:val="20"/>
          <w:szCs w:val="20"/>
          <w:color w:val="auto"/>
        </w:rPr>
      </w:pPr>
      <w:r>
        <w:rPr>
          <w:rFonts w:ascii="Times New Roman" w:cs="Times New Roman" w:eastAsia="Times New Roman" w:hAnsi="Times New Roman"/>
          <w:sz w:val="17"/>
          <w:szCs w:val="17"/>
          <w:i w:val="1"/>
          <w:iCs w:val="1"/>
          <w:u w:val="single" w:color="auto"/>
          <w:color w:val="auto"/>
        </w:rPr>
        <w:t>Transaction and transformation, net</w:t>
      </w:r>
      <w:r>
        <w:rPr>
          <w:rFonts w:ascii="Times New Roman" w:cs="Times New Roman" w:eastAsia="Times New Roman" w:hAnsi="Times New Roman"/>
          <w:sz w:val="17"/>
          <w:szCs w:val="17"/>
          <w:i w:val="1"/>
          <w:iCs w:val="1"/>
          <w:color w:val="auto"/>
        </w:rPr>
        <w:t xml:space="preserve"> — </w:t>
      </w:r>
      <w:r>
        <w:rPr>
          <w:rFonts w:ascii="Times New Roman" w:cs="Times New Roman" w:eastAsia="Times New Roman" w:hAnsi="Times New Roman"/>
          <w:sz w:val="17"/>
          <w:szCs w:val="17"/>
          <w:color w:val="auto"/>
        </w:rPr>
        <w:t>Transaction and transformation, net consists of two components, transaction-related costs and termination income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receipts related to acquisitions and disposals, and transformation expenses associated with our Transformation program (see Note 6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Restructuring Costs).</w:t>
      </w:r>
    </w:p>
    <w:p>
      <w:pPr>
        <w:spacing w:after="0" w:line="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Transaction costs primarily include legal and other professional fees as well as other costs that are directly attributable to an acquisition or an in-process but not yet completed divestiture. Costs related to divestitures incurred during the period of the divestment are not included in transaction costs, but are instead included in the gain or loss on disposal of a business within Other income, net on the consolidated statements of comprehensive income. Additionally, on July 26, 2021, WTW and Aon plc (‘Aon’) announced they had terminated the business combination agreement between the two companies previously entered into in March 2020. Per the terms of the agreement and as part of this termination, Aon agreed to pay WTW $1 billion in connection with such termination, which was received by WTW on July 27, 2021. The $1 billion income receipt was included within Transaction and transformation, net in the consolidated statement of comprehensive income during the year ended December 31, 2021.</w:t>
      </w:r>
    </w:p>
    <w:p>
      <w:pPr>
        <w:spacing w:after="0" w:line="131"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8"/>
          <w:szCs w:val="18"/>
          <w:color w:val="auto"/>
        </w:rPr>
        <w:t xml:space="preserve">Transformation costs are costs incurred under the Transformation program but are not eligible to be classified as restructuring costs under ASC 420, </w:t>
      </w:r>
      <w:r>
        <w:rPr>
          <w:rFonts w:ascii="Times New Roman" w:cs="Times New Roman" w:eastAsia="Times New Roman" w:hAnsi="Times New Roman"/>
          <w:sz w:val="18"/>
          <w:szCs w:val="18"/>
          <w:i w:val="1"/>
          <w:iCs w:val="1"/>
          <w:color w:val="auto"/>
        </w:rPr>
        <w:t>Exit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Disposal Cost Obligation </w:t>
      </w:r>
      <w:r>
        <w:rPr>
          <w:rFonts w:ascii="Times New Roman" w:cs="Times New Roman" w:eastAsia="Times New Roman" w:hAnsi="Times New Roman"/>
          <w:sz w:val="18"/>
          <w:szCs w:val="18"/>
          <w:color w:val="auto"/>
        </w:rPr>
        <w:t>(‘ASC 420’)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costs are not expected to continue beyond the defined period of the program.</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new pronouncements that are expected to have a significant impact to the Company or its consolidated financial statements.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Legislation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Reduction Act</w:t>
      </w:r>
    </w:p>
    <w:p>
      <w:pPr>
        <w:spacing w:after="0" w:line="173"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The Inflation Reduction Act of 2022 was enacted into law on August 16, 2022 and became effective January 1, 2023. The Company is currently evaluating the provisions of the new legislation, the most significant of which are the corporate alternative minimum tax (‘CAMT’) and the share repurchase excise tax. The Company does not expect the CAMT or excise tax to have a significant impact on its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Pillar Two</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12, 2022, E.U. member states reached an agreement to implement Pillar Two, which introduces a global corporate minimum tax of 15%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large multinational companies beginning in 2023. For the rules to take effect, E.U. member states are required to enact domestic legislation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 of 2023 to be effective January 1, 2024. The Company is currently evaluating the impact Pillar Two will have on its consolidated financial statements.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Note 3 — Acquisitions and Divestitures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disclosures discuss significant transactions during the three-year period ended December 31, 2022.</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75" w:lineRule="exact"/>
        <w:rPr>
          <w:sz w:val="20"/>
          <w:szCs w:val="20"/>
          <w:color w:val="auto"/>
        </w:rPr>
      </w:pPr>
    </w:p>
    <w:p>
      <w:pPr>
        <w:ind w:right="500"/>
        <w:spacing w:after="0" w:line="312" w:lineRule="auto"/>
        <w:rPr>
          <w:sz w:val="20"/>
          <w:szCs w:val="20"/>
          <w:color w:val="auto"/>
        </w:rPr>
      </w:pPr>
      <w:r>
        <w:rPr>
          <w:rFonts w:ascii="Times New Roman" w:cs="Times New Roman" w:eastAsia="Times New Roman" w:hAnsi="Times New Roman"/>
          <w:sz w:val="17"/>
          <w:szCs w:val="17"/>
          <w:color w:val="auto"/>
        </w:rPr>
        <w:t>The Company completed acquisitions during the years ended December 31, 2022, 2021 and 2020 for combined cash payments of $111 million, $52 million, and $79 million, respectively, and contingent and deferred consideration fair valued at $28 million, $21 million, and $9 million, respectively.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Divestment of Russian Business</w:t>
      </w:r>
    </w:p>
    <w:p>
      <w:pPr>
        <w:spacing w:after="0" w:line="17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During the first quarter of 2022, WTW announced its intention to transfer ownership of its Russian subsidiaries to local management who will operate independently in the Russian market. Due to the sanctions and prohibitions on certain types of business and activities, WTW deconsolidated its Russian entities on March 14, 2022. The transfer of its Russian subsidiaries to local management was completed on the agreed-upon terms on July 18, 2022, and the transfer was registered in Russia on July 25, 2022. The deconsolidation in the first quarter of 2022 resulted in a loss of $57 million, which includes an allocation of Risk &amp; Broking goodwill, and was recognized as a loss on disposal of a business within Other income, net on our consolidated statement of comprehensive income. Further, certain Russian insurance contracts were placed historically by our U.K. brokers into the London market, the majority of which were under multi-year terms resulting in both current and non-current accounts receivables. Total net assets impaired, including accounts receivable balances related to our Russian business that are held outside of our Russian entities, were $81 million recorded during the three months ended March 31, 2022 in Other operating expenses on our consolidated statement of comprehensive income.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Willis Re Divestiture</w:t>
      </w:r>
    </w:p>
    <w:p>
      <w:pPr>
        <w:spacing w:after="0" w:line="17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On August 13, 2021, the Company entered into a definitive agreement to sell its treaty-reinsurance business (‘Willis Re’) to Arthur J. Gallagher &amp; Co. (‘Gallagher’), a leading global provider of insurance, risk management and consulting services, for total upfront cash consideration of $3.25 billion plus an earnout payable in 2025 of up to $750 million in cash, subject to certain adjustments. The deal was subject to required regulatory approvals and clearances, as well as other customary closing conditions, and was completed on December 1, 2021 (‘Principal Closing’). Although the majority of the Willis Re businesses transferred to Gallagher at Principal Closing, the assets and liabilities of certain Willis Re businesses were not transferred to Gallagher at the time due to local territory restrictions (‘Deferred Closing’). The Deferred Closing for all but one business was completed during the second quarter of 2022, and all net earnings of the Deferred Closing businesses accumulated between the Principal Closing and Deferred Closing remained payable to Gallagher at June 30, 2022 and September 30, 2022. The Company recognized a preliminary pre-tax gain of $2.3 billion upon completion of the sale in 2021, and during the second quarter of 2022, WTW recognized a $60 million reduction to the pre-tax gain related to an updated estimate of the working capital transferred upon disposal. The Company recognized the final allocation of the proceeds and related tax expense, as well as an adjustment of certain indemnities for the three months ended September 30, 2022. These amounts as well as the amounts payable with respect to the settled Deferred Closing businesses were remitted to Gallagher in October 2022. The remaining Deferred Closing business occurred during the fourth quarter of 2022, and all businesses have now been transferred to Gallagher. The gain is subject to tax in certain jurisdictions, mainly in the U.S., and is predominantly tax-exempt in the U.K.</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connection with the transaction, the Company reclassified the results of its Willis Re operations as discontinued operations on its consolidated statements of comprehensive income and reclassified Willis Re assets and liabilities as held for sale on its consolidated balance sheets. The consolidated cash flow statements were not adjusted for the divestiture. Willis Re was previously included in the Company's former Investment, Risk and Reinsurance segment. As noted above, the amounts owed as part of the Deferred Closing were classified as held for sale on the consolidated balance sheet at December 31, 2021, and the results of these businesses following the Principal Closing until their respective Deferred Closing dates have been included in income from discontinued operations on the consolidated statements of comprehensive income.</w:t>
      </w:r>
    </w:p>
    <w:p>
      <w:pPr>
        <w:spacing w:after="0" w:line="132" w:lineRule="exact"/>
        <w:rPr>
          <w:sz w:val="20"/>
          <w:szCs w:val="20"/>
          <w:color w:val="auto"/>
        </w:rPr>
      </w:pPr>
    </w:p>
    <w:p>
      <w:pPr>
        <w:ind w:right="560"/>
        <w:spacing w:after="0" w:line="281" w:lineRule="auto"/>
        <w:rPr>
          <w:sz w:val="20"/>
          <w:szCs w:val="20"/>
          <w:color w:val="auto"/>
        </w:rPr>
      </w:pPr>
      <w:r>
        <w:rPr>
          <w:rFonts w:ascii="Times New Roman" w:cs="Times New Roman" w:eastAsia="Times New Roman" w:hAnsi="Times New Roman"/>
          <w:sz w:val="18"/>
          <w:szCs w:val="18"/>
          <w:color w:val="auto"/>
        </w:rPr>
        <w:t>The Company will account for the earnout as a gain contingency and therefore did not record any receivables upon close. Rather, the earnout will be recognized in the Company’s consolidated financial statements, if it is received, in 2025.</w:t>
      </w:r>
    </w:p>
    <w:p>
      <w:pPr>
        <w:spacing w:after="0" w:line="1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 number of services are continuing under a cost reimbursement Transition Services Agreement (‘TSA’) in which WTW is providing Gallagher support including real estate leases, information technology, payroll, human resources and accounting. These services are expected to be provided for a period not to exceed two years from the Principal Closing. Fees earned under the TSA were $45 million and $4 million during the years ended December 31, 2022 and 2021, respectively, and have been recognized as a reduction to the costs incurred to service the TSA and are included in continuing operations within Other operating expenses on the consolidated statements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88" w:name="page89"/>
    <w:bookmarkEnd w:id="88"/>
    <w:p>
      <w:pPr>
        <w:ind w:right="160"/>
        <w:spacing w:after="0" w:line="281" w:lineRule="auto"/>
        <w:rPr>
          <w:sz w:val="20"/>
          <w:szCs w:val="20"/>
          <w:color w:val="auto"/>
        </w:rPr>
      </w:pPr>
      <w:r>
        <w:rPr>
          <w:rFonts w:ascii="Times New Roman" w:cs="Times New Roman" w:eastAsia="Times New Roman" w:hAnsi="Times New Roman"/>
          <w:sz w:val="18"/>
          <w:szCs w:val="18"/>
          <w:color w:val="auto"/>
        </w:rPr>
        <w:t>of comprehensive income. Costs incurred to service the TSA are expected to be reduced as part of the Company’s Transformation program (see Note 6 — Restructuring Costs for a description of the program) as quickly as possible when the services are no longer required by Gallagher.</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selected financial information relates to the operations of Willis Re for the periods presented: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23"/>
        </w:trPr>
        <w:tc>
          <w:tcPr>
            <w:tcW w:w="6620" w:type="dxa"/>
            <w:vAlign w:val="bottom"/>
          </w:tcPr>
          <w:p>
            <w:pPr>
              <w:spacing w:after="0"/>
              <w:rPr>
                <w:sz w:val="19"/>
                <w:szCs w:val="19"/>
                <w:color w:val="auto"/>
              </w:rPr>
            </w:pPr>
          </w:p>
        </w:tc>
        <w:tc>
          <w:tcPr>
            <w:tcW w:w="9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from discontinued operations</w:t>
            </w:r>
          </w:p>
        </w:tc>
        <w:tc>
          <w:tcPr>
            <w:tcW w:w="940" w:type="dxa"/>
            <w:vAlign w:val="bottom"/>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721</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737</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of providing services</w:t>
            </w: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Salaries and benefits</w:t>
            </w:r>
          </w:p>
        </w:tc>
        <w:tc>
          <w:tcPr>
            <w:tcW w:w="94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350</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350</w:t>
            </w:r>
          </w:p>
        </w:tc>
      </w:tr>
      <w:tr>
        <w:trPr>
          <w:trHeight w:val="238"/>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940" w:type="dxa"/>
            <w:vAlign w:val="bottom"/>
          </w:tcPr>
          <w:p>
            <w:pPr>
              <w:spacing w:after="0"/>
              <w:rPr>
                <w:sz w:val="20"/>
                <w:szCs w:val="20"/>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61</w:t>
            </w:r>
          </w:p>
        </w:tc>
      </w:tr>
      <w:tr>
        <w:trPr>
          <w:trHeight w:val="247"/>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r>
      <w:tr>
        <w:trPr>
          <w:trHeight w:val="238"/>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 and transformation, net</w:t>
            </w:r>
          </w:p>
        </w:tc>
        <w:tc>
          <w:tcPr>
            <w:tcW w:w="9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costs of providing services</w:t>
            </w:r>
          </w:p>
        </w:tc>
        <w:tc>
          <w:tcPr>
            <w:tcW w:w="94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444</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413</w:t>
            </w:r>
          </w:p>
        </w:tc>
      </w:tr>
      <w:tr>
        <w:trPr>
          <w:trHeight w:val="238"/>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9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r>
      <w:tr>
        <w:trPr>
          <w:trHeight w:val="240"/>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before income taxes</w:t>
            </w:r>
          </w:p>
        </w:tc>
        <w:tc>
          <w:tcPr>
            <w:tcW w:w="94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279</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327</w:t>
            </w:r>
          </w:p>
        </w:tc>
      </w:tr>
      <w:tr>
        <w:trPr>
          <w:trHeight w:val="238"/>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(Loss)/gain on disposal of Willis Re</w:t>
            </w:r>
          </w:p>
        </w:tc>
        <w:tc>
          <w:tcPr>
            <w:tcW w:w="9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2,300</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Benefit from/(provision for) income tax expense</w:t>
            </w:r>
          </w:p>
        </w:tc>
        <w:tc>
          <w:tcPr>
            <w:tcW w:w="94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38"/>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(payable to)/receivable from Gallagher on Deferred Closing</w:t>
            </w:r>
          </w:p>
        </w:tc>
        <w:tc>
          <w:tcPr>
            <w:tcW w:w="9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66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(Loss)/income from discontinued operations, net of tax</w:t>
            </w:r>
          </w:p>
        </w:tc>
        <w:tc>
          <w:tcPr>
            <w:tcW w:w="940" w:type="dxa"/>
            <w:vAlign w:val="bottom"/>
            <w:tcBorders>
              <w:bottom w:val="single" w:sz="8" w:color="auto"/>
            </w:tcBorders>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40" w:type="dxa"/>
            <w:vAlign w:val="bottom"/>
            <w:tcBorders>
              <w:bottom w:val="single" w:sz="8" w:color="auto"/>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2,080</w:t>
            </w:r>
          </w:p>
        </w:tc>
        <w:tc>
          <w:tcPr>
            <w:tcW w:w="1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-24765</wp:posOffset>
            </wp:positionV>
            <wp:extent cx="10287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-7620</wp:posOffset>
            </wp:positionV>
            <wp:extent cx="10287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-24765</wp:posOffset>
            </wp:positionV>
            <wp:extent cx="10287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-7620</wp:posOffset>
            </wp:positionV>
            <wp:extent cx="10287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23"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The expense amounts reflected above represent only the direct costs attributable to the Willis Re business and exclude allocations of corporate costs that will be retained following the sale. Neither the discontinued operations presented above, nor the unallocated corporate costs, reflect the impact of any cost reimbursement that has been received under the TSA.</w:t>
      </w:r>
    </w:p>
    <w:p>
      <w:pPr>
        <w:spacing w:after="0" w:line="12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Amounts classified as held for sale within our consolidated balance sheet at December 31, 2021 were related to amounts payable as part of the Deferred Closing. Certain amounts included in the consolidated balance sheets have been excluded from the held-for-sale balances disclosed since the assets did not transfer under the terms of the sale agreement, and instead will be settled by the Company. At December 31, 2022 and 2021, the amounts of significant assets and liabilities related to the Willis Re businesses which were not transferred in the sale and are therefore not classified as held for sale on the consolidated balance sheets are $3.2 billion and $2.6 billion of fiduciary assets and liabilities, $29 million and $71 million of accounts receivable and $73 million and $91 million of other current liabilities, respectively. Other than indemnified amounts, these amounts will be settled over time.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Miller Divestiture</w:t>
      </w:r>
    </w:p>
    <w:p>
      <w:pPr>
        <w:spacing w:after="0" w:line="17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On March 1, 2021, the Company completed the transaction to sell its U.K.-based, majority-owned wholesale subsidiary Miller for final total consideration of GBP 623 million ($818 million), which includes amounts paid to the minority shareholder. The $356 million net tax-exempt gain on the sale was included in Other income, net in the consolidated statement of comprehensive income during the year ended December 31, 2021. Prior to disposal, Miller was included within the Company's former Investment, Risk and Reinsurance segment.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Max Matthiessen Divestiture</w:t>
      </w:r>
    </w:p>
    <w:p>
      <w:pPr>
        <w:spacing w:after="0" w:line="17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September 2020, the Company completed the transaction to sell its Swedish majority-owned subsidiary MM Holding AB (‘Max Matthiessen’) for total consideration of SEK 2.3 billion ($262 million) plus certain other adjustments, resulting in a tax-exempt gain on the sale of $86 million, which is included in Other income, net in the consolidated statement of comprehensive income during the year ended December 31, 2020. Of the total consideration, the Company financed a SEK 600 million ($68 million) note repayable by the purchaser. The note has no fixed term but is repayable subject to certain terms and conditions and bears an interest rate that could range from 5% to 10%, increasing the longer the note remains outstanding. This note receivable is included in Other non-current assets in the consolidated balance sheets. Prior to disposal, Max Matthiessen was included within the Company's former Investment, Risk and Reinsurance segment.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Disposals</w:t>
      </w:r>
    </w:p>
    <w:p>
      <w:pPr>
        <w:spacing w:after="0" w:line="173"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The Company completed other disposals during the years ended December 31, 2022, 2021 and 2020 for cash proceeds of $1 million, $75 million, and $30 million, respectively, and net gains on disposal of $64 million, $26 million, and $18 million, respectively. For the year ended December 31, 2022, the Company recognized non-cash proceeds on disposals of $63 million; there were no non-cash proceeds recognized on disposals for the years ended December 31, 2021 and 2020.</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Note 4 — 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6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 xml:space="preserve">The Company reports revenue by segment in Note 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Segment Information. The following table presents revenue by service offering and segment, as well as a reconciliation to total revenue for the years ended December 31, 2022, 2021 and 2020. Along with reimbursable expenses and other, total revenue by service offering represents our revenue from customer contracts. The prior years’ segment information has been retrospectively adjusted to conform to the current year presentation.</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Total revenue</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2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Outsourced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Total revenue</w:t>
            </w:r>
          </w:p>
        </w:tc>
        <w:tc>
          <w:tcPr>
            <w:tcW w:w="10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Reimbursable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i w:val="1"/>
                <w:iCs w:val="1"/>
                <w:color w:val="auto"/>
                <w:w w:val="99"/>
              </w:rPr>
              <w:t>from</w:t>
            </w:r>
          </w:p>
        </w:tc>
        <w:tc>
          <w:tcPr>
            <w:tcW w:w="100" w:type="dxa"/>
            <w:vAlign w:val="bottom"/>
          </w:tcPr>
          <w:p>
            <w:pPr>
              <w:spacing w:after="0"/>
              <w:rPr>
                <w:sz w:val="16"/>
                <w:szCs w:val="16"/>
                <w:color w:val="auto"/>
              </w:rPr>
            </w:pPr>
          </w:p>
        </w:tc>
        <w:tc>
          <w:tcPr>
            <w:tcW w:w="96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Interest and</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Broking</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120" w:type="dxa"/>
            <w:vAlign w:val="bottom"/>
          </w:tcPr>
          <w:p>
            <w:pPr>
              <w:spacing w:after="0"/>
              <w:rPr>
                <w:sz w:val="9"/>
                <w:szCs w:val="9"/>
                <w:color w:val="auto"/>
              </w:rPr>
            </w:pPr>
          </w:p>
        </w:tc>
        <w:tc>
          <w:tcPr>
            <w:tcW w:w="102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Administratio</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jc w:val="right"/>
              <w:ind w:right="209"/>
              <w:spacing w:after="0" w:line="108" w:lineRule="exact"/>
              <w:rPr>
                <w:sz w:val="20"/>
                <w:szCs w:val="20"/>
                <w:color w:val="auto"/>
              </w:rPr>
            </w:pPr>
            <w:r>
              <w:rPr>
                <w:rFonts w:ascii="Times New Roman" w:cs="Times New Roman" w:eastAsia="Times New Roman" w:hAnsi="Times New Roman"/>
                <w:sz w:val="12"/>
                <w:szCs w:val="12"/>
                <w:b w:val="1"/>
                <w:bCs w:val="1"/>
                <w:i w:val="1"/>
                <w:iCs w:val="1"/>
                <w:color w:val="auto"/>
              </w:rPr>
              <w:t>by service</w:t>
            </w:r>
          </w:p>
        </w:tc>
        <w:tc>
          <w:tcPr>
            <w:tcW w:w="100" w:type="dxa"/>
            <w:vAlign w:val="bottom"/>
          </w:tcPr>
          <w:p>
            <w:pPr>
              <w:spacing w:after="0"/>
              <w:rPr>
                <w:sz w:val="9"/>
                <w:szCs w:val="9"/>
                <w:color w:val="auto"/>
              </w:rPr>
            </w:pPr>
          </w:p>
        </w:tc>
        <w:tc>
          <w:tcPr>
            <w:tcW w:w="1040" w:type="dxa"/>
            <w:vAlign w:val="bottom"/>
            <w:gridSpan w:val="2"/>
          </w:tcPr>
          <w:p>
            <w:pPr>
              <w:jc w:val="right"/>
              <w:ind w:right="108"/>
              <w:spacing w:after="0" w:line="108" w:lineRule="exact"/>
              <w:rPr>
                <w:sz w:val="20"/>
                <w:szCs w:val="20"/>
                <w:color w:val="auto"/>
              </w:rPr>
            </w:pPr>
            <w:r>
              <w:rPr>
                <w:rFonts w:ascii="Times New Roman" w:cs="Times New Roman" w:eastAsia="Times New Roman" w:hAnsi="Times New Roman"/>
                <w:sz w:val="12"/>
                <w:szCs w:val="12"/>
                <w:b w:val="1"/>
                <w:bCs w:val="1"/>
                <w:color w:val="auto"/>
              </w:rPr>
              <w:t>expenses and</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jc w:val="center"/>
              <w:ind w:right="189"/>
              <w:spacing w:after="0" w:line="108" w:lineRule="exact"/>
              <w:rPr>
                <w:sz w:val="20"/>
                <w:szCs w:val="20"/>
                <w:color w:val="auto"/>
              </w:rPr>
            </w:pPr>
            <w:r>
              <w:rPr>
                <w:rFonts w:ascii="Times New Roman" w:cs="Times New Roman" w:eastAsia="Times New Roman" w:hAnsi="Times New Roman"/>
                <w:sz w:val="12"/>
                <w:szCs w:val="12"/>
                <w:b w:val="1"/>
                <w:bCs w:val="1"/>
                <w:i w:val="1"/>
                <w:iCs w:val="1"/>
                <w:color w:val="auto"/>
              </w:rPr>
              <w:t>customer</w:t>
            </w:r>
          </w:p>
        </w:tc>
        <w:tc>
          <w:tcPr>
            <w:tcW w:w="100" w:type="dxa"/>
            <w:vAlign w:val="bottom"/>
          </w:tcPr>
          <w:p>
            <w:pPr>
              <w:spacing w:after="0"/>
              <w:rPr>
                <w:sz w:val="9"/>
                <w:szCs w:val="9"/>
                <w:color w:val="auto"/>
              </w:rPr>
            </w:pPr>
          </w:p>
        </w:tc>
        <w:tc>
          <w:tcPr>
            <w:tcW w:w="96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2"/>
                <w:szCs w:val="12"/>
                <w:b w:val="1"/>
                <w:bCs w:val="1"/>
                <w:color w:val="auto"/>
              </w:rPr>
              <w:t>other income</w:t>
            </w:r>
          </w:p>
        </w:tc>
        <w:tc>
          <w:tcPr>
            <w:tcW w:w="120" w:type="dxa"/>
            <w:vAlign w:val="bottom"/>
          </w:tcPr>
          <w:p>
            <w:pPr>
              <w:spacing w:after="0"/>
              <w:rPr>
                <w:sz w:val="9"/>
                <w:szCs w:val="9"/>
                <w:color w:val="auto"/>
              </w:rPr>
            </w:pPr>
          </w:p>
        </w:tc>
        <w:tc>
          <w:tcPr>
            <w:tcW w:w="98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i w:val="1"/>
                <w:iCs w:val="1"/>
                <w:color w:val="auto"/>
              </w:rPr>
              <w:t>Total revenue</w:t>
            </w:r>
          </w:p>
        </w:tc>
        <w:tc>
          <w:tcPr>
            <w:tcW w:w="0" w:type="dxa"/>
            <w:vAlign w:val="bottom"/>
          </w:tcPr>
          <w:p>
            <w:pPr>
              <w:spacing w:after="0"/>
              <w:rPr>
                <w:sz w:val="1"/>
                <w:szCs w:val="1"/>
                <w:color w:val="auto"/>
              </w:rPr>
            </w:pPr>
          </w:p>
        </w:tc>
      </w:tr>
      <w:tr>
        <w:trPr>
          <w:trHeight w:val="189"/>
        </w:trPr>
        <w:tc>
          <w:tcPr>
            <w:tcW w:w="1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n</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i w:val="1"/>
                <w:iCs w:val="1"/>
                <w:color w:val="auto"/>
              </w:rPr>
              <w:t>offering</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68"/>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19"/>
                <w:szCs w:val="19"/>
                <w:b w:val="1"/>
                <w:bCs w:val="1"/>
                <w:color w:val="auto"/>
                <w:vertAlign w:val="superscript"/>
              </w:rPr>
              <w:t>(i)</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4"/>
                <w:szCs w:val="14"/>
                <w:b w:val="1"/>
                <w:bCs w:val="1"/>
                <w:i w:val="1"/>
                <w:iCs w:val="1"/>
                <w:color w:val="auto"/>
              </w:rPr>
              <w:t>contracts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0"/>
                <w:szCs w:val="10"/>
                <w:b w:val="1"/>
                <w:bCs w:val="1"/>
                <w:color w:val="auto"/>
              </w:rPr>
              <w:t>(ii)</w:t>
            </w:r>
          </w:p>
        </w:tc>
        <w:tc>
          <w:tcPr>
            <w:tcW w:w="120" w:type="dxa"/>
            <w:vAlign w:val="bottom"/>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HWC</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2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2022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1,415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2,522</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979</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332</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5,248</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64</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5,312</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39</w:t>
            </w:r>
          </w:p>
        </w:tc>
        <w:tc>
          <w:tcPr>
            <w:tcW w:w="4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5,351</w:t>
            </w:r>
          </w:p>
        </w:tc>
        <w:tc>
          <w:tcPr>
            <w:tcW w:w="0" w:type="dxa"/>
            <w:vAlign w:val="bottom"/>
          </w:tcPr>
          <w:p>
            <w:pPr>
              <w:spacing w:after="0"/>
              <w:rPr>
                <w:sz w:val="1"/>
                <w:szCs w:val="1"/>
                <w:color w:val="auto"/>
              </w:rPr>
            </w:pPr>
          </w:p>
        </w:tc>
      </w:tr>
      <w:tr>
        <w:trPr>
          <w:trHeight w:val="175"/>
        </w:trPr>
        <w:tc>
          <w:tcPr>
            <w:tcW w:w="1280" w:type="dxa"/>
            <w:vAlign w:val="bottom"/>
            <w:shd w:val="clear" w:color="auto" w:fill="CFF0FC"/>
          </w:tcPr>
          <w:p>
            <w:pPr>
              <w:jc w:val="right"/>
              <w:ind w:right="728"/>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1,295</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2,538</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1,046</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5,231</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5,291</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5,328</w:t>
            </w:r>
          </w:p>
        </w:tc>
        <w:tc>
          <w:tcPr>
            <w:tcW w:w="0" w:type="dxa"/>
            <w:vAlign w:val="bottom"/>
          </w:tcPr>
          <w:p>
            <w:pPr>
              <w:spacing w:after="0"/>
              <w:rPr>
                <w:sz w:val="1"/>
                <w:szCs w:val="1"/>
                <w:color w:val="auto"/>
              </w:rPr>
            </w:pPr>
          </w:p>
        </w:tc>
      </w:tr>
      <w:tr>
        <w:trPr>
          <w:trHeight w:val="175"/>
        </w:trPr>
        <w:tc>
          <w:tcPr>
            <w:tcW w:w="12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2020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1,141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2,413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1,028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4,877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4,941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4,959</w:t>
            </w:r>
          </w:p>
        </w:tc>
        <w:tc>
          <w:tcPr>
            <w:tcW w:w="0" w:type="dxa"/>
            <w:vAlign w:val="bottom"/>
          </w:tcPr>
          <w:p>
            <w:pPr>
              <w:spacing w:after="0"/>
              <w:rPr>
                <w:sz w:val="1"/>
                <w:szCs w:val="1"/>
                <w:color w:val="auto"/>
              </w:rPr>
            </w:pPr>
          </w:p>
        </w:tc>
      </w:tr>
      <w:tr>
        <w:trPr>
          <w:trHeight w:val="175"/>
        </w:trPr>
        <w:tc>
          <w:tcPr>
            <w:tcW w:w="1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R&amp;B</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2,745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370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3,384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3,395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3,471</w:t>
            </w:r>
          </w:p>
        </w:tc>
        <w:tc>
          <w:tcPr>
            <w:tcW w:w="0" w:type="dxa"/>
            <w:vAlign w:val="bottom"/>
          </w:tcPr>
          <w:p>
            <w:pPr>
              <w:spacing w:after="0"/>
              <w:rPr>
                <w:sz w:val="1"/>
                <w:szCs w:val="1"/>
                <w:color w:val="auto"/>
              </w:rPr>
            </w:pPr>
          </w:p>
        </w:tc>
      </w:tr>
      <w:tr>
        <w:trPr>
          <w:trHeight w:val="175"/>
        </w:trPr>
        <w:tc>
          <w:tcPr>
            <w:tcW w:w="1280" w:type="dxa"/>
            <w:vAlign w:val="bottom"/>
            <w:shd w:val="clear" w:color="auto" w:fill="CFF0FC"/>
          </w:tcPr>
          <w:p>
            <w:pPr>
              <w:jc w:val="right"/>
              <w:ind w:right="728"/>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2,822</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384</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3,469</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3,476</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3,571</w:t>
            </w:r>
          </w:p>
        </w:tc>
        <w:tc>
          <w:tcPr>
            <w:tcW w:w="0" w:type="dxa"/>
            <w:vAlign w:val="bottom"/>
          </w:tcPr>
          <w:p>
            <w:pPr>
              <w:spacing w:after="0"/>
              <w:rPr>
                <w:sz w:val="1"/>
                <w:szCs w:val="1"/>
                <w:color w:val="auto"/>
              </w:rPr>
            </w:pPr>
          </w:p>
        </w:tc>
      </w:tr>
      <w:tr>
        <w:trPr>
          <w:trHeight w:val="175"/>
        </w:trPr>
        <w:tc>
          <w:tcPr>
            <w:tcW w:w="12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2020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2,707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336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3,278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3,285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3,323</w:t>
            </w:r>
          </w:p>
        </w:tc>
        <w:tc>
          <w:tcPr>
            <w:tcW w:w="0" w:type="dxa"/>
            <w:vAlign w:val="bottom"/>
          </w:tcPr>
          <w:p>
            <w:pPr>
              <w:spacing w:after="0"/>
              <w:rPr>
                <w:sz w:val="1"/>
                <w:szCs w:val="1"/>
                <w:color w:val="auto"/>
              </w:rPr>
            </w:pPr>
          </w:p>
        </w:tc>
      </w:tr>
      <w:tr>
        <w:trPr>
          <w:trHeight w:val="175"/>
        </w:trPr>
        <w:tc>
          <w:tcPr>
            <w:tcW w:w="1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Divested Businesses</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1280" w:type="dxa"/>
            <w:vAlign w:val="bottom"/>
            <w:shd w:val="clear" w:color="auto" w:fill="CFF0FC"/>
          </w:tcPr>
          <w:p>
            <w:pPr>
              <w:jc w:val="right"/>
              <w:ind w:right="728"/>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175"/>
        </w:trPr>
        <w:tc>
          <w:tcPr>
            <w:tcW w:w="12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2020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323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323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324</w:t>
            </w:r>
          </w:p>
        </w:tc>
        <w:tc>
          <w:tcPr>
            <w:tcW w:w="0" w:type="dxa"/>
            <w:vAlign w:val="bottom"/>
          </w:tcPr>
          <w:p>
            <w:pPr>
              <w:spacing w:after="0"/>
              <w:rPr>
                <w:sz w:val="1"/>
                <w:szCs w:val="1"/>
                <w:color w:val="auto"/>
              </w:rPr>
            </w:pPr>
          </w:p>
        </w:tc>
      </w:tr>
      <w:tr>
        <w:trPr>
          <w:trHeight w:val="175"/>
        </w:trPr>
        <w:tc>
          <w:tcPr>
            <w:tcW w:w="128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Corporate </w:t>
            </w:r>
            <w:r>
              <w:rPr>
                <w:rFonts w:ascii="Times New Roman" w:cs="Times New Roman" w:eastAsia="Times New Roman" w:hAnsi="Times New Roman"/>
                <w:sz w:val="19"/>
                <w:szCs w:val="19"/>
                <w:color w:val="auto"/>
                <w:vertAlign w:val="superscript"/>
              </w:rPr>
              <w:t>(i)</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75"/>
        </w:trPr>
        <w:tc>
          <w:tcPr>
            <w:tcW w:w="1280" w:type="dxa"/>
            <w:vAlign w:val="bottom"/>
            <w:shd w:val="clear" w:color="auto" w:fill="CFF0FC"/>
          </w:tcPr>
          <w:p>
            <w:pPr>
              <w:jc w:val="right"/>
              <w:ind w:right="728"/>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0" w:type="dxa"/>
            <w:vAlign w:val="bottom"/>
          </w:tcPr>
          <w:p>
            <w:pPr>
              <w:spacing w:after="0"/>
              <w:rPr>
                <w:sz w:val="1"/>
                <w:szCs w:val="1"/>
                <w:color w:val="auto"/>
              </w:rPr>
            </w:pPr>
          </w:p>
        </w:tc>
      </w:tr>
      <w:tr>
        <w:trPr>
          <w:trHeight w:val="175"/>
        </w:trPr>
        <w:tc>
          <w:tcPr>
            <w:tcW w:w="12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2020</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69"/>
        </w:trPr>
        <w:tc>
          <w:tcPr>
            <w:tcW w:w="1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2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4,167</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2,902</w:t>
            </w:r>
          </w:p>
        </w:tc>
        <w:tc>
          <w:tcPr>
            <w:tcW w:w="120" w:type="dxa"/>
            <w:vAlign w:val="bottom"/>
          </w:tcPr>
          <w:p>
            <w:pPr>
              <w:spacing w:after="0"/>
              <w:rPr>
                <w:sz w:val="15"/>
                <w:szCs w:val="15"/>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1,054</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526</w:t>
            </w:r>
          </w:p>
        </w:tc>
        <w:tc>
          <w:tcPr>
            <w:tcW w:w="100" w:type="dxa"/>
            <w:vAlign w:val="bottom"/>
          </w:tcPr>
          <w:p>
            <w:pPr>
              <w:spacing w:after="0"/>
              <w:rPr>
                <w:sz w:val="15"/>
                <w:szCs w:val="15"/>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8,649</w:t>
            </w:r>
          </w:p>
        </w:tc>
        <w:tc>
          <w:tcPr>
            <w:tcW w:w="100" w:type="dxa"/>
            <w:vAlign w:val="bottom"/>
          </w:tcPr>
          <w:p>
            <w:pPr>
              <w:spacing w:after="0"/>
              <w:rPr>
                <w:sz w:val="15"/>
                <w:szCs w:val="15"/>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5"/>
                <w:szCs w:val="15"/>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8,726</w:t>
            </w:r>
          </w:p>
        </w:tc>
        <w:tc>
          <w:tcPr>
            <w:tcW w:w="100" w:type="dxa"/>
            <w:vAlign w:val="bottom"/>
          </w:tcPr>
          <w:p>
            <w:pPr>
              <w:spacing w:after="0"/>
              <w:rPr>
                <w:sz w:val="15"/>
                <w:szCs w:val="15"/>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140</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8,866</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Borders>
              <w:bottom w:val="single" w:sz="8" w:color="CFF0FC"/>
            </w:tcBorders>
            <w:shd w:val="clear" w:color="auto" w:fill="CFF0FC"/>
          </w:tcPr>
          <w:p>
            <w:pPr>
              <w:jc w:val="right"/>
              <w:ind w:right="728"/>
              <w:spacing w:after="0" w:line="156" w:lineRule="exact"/>
              <w:rPr>
                <w:sz w:val="20"/>
                <w:szCs w:val="20"/>
                <w:color w:val="auto"/>
              </w:rPr>
            </w:pPr>
            <w:r>
              <w:rPr>
                <w:rFonts w:ascii="Times New Roman" w:cs="Times New Roman" w:eastAsia="Times New Roman" w:hAnsi="Times New Roman"/>
                <w:sz w:val="14"/>
                <w:szCs w:val="14"/>
                <w:color w:val="auto"/>
              </w:rPr>
              <w:t>2021</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4,182</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FF0FC"/>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2,936</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FF0FC"/>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1,134</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531</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FF0FC"/>
          </w:tcPr>
          <w:p>
            <w:pPr>
              <w:jc w:val="right"/>
              <w:ind w:right="49"/>
              <w:spacing w:after="0" w:line="156" w:lineRule="exact"/>
              <w:rPr>
                <w:sz w:val="20"/>
                <w:szCs w:val="20"/>
                <w:color w:val="auto"/>
              </w:rPr>
            </w:pPr>
            <w:r>
              <w:rPr>
                <w:rFonts w:ascii="Times New Roman" w:cs="Times New Roman" w:eastAsia="Times New Roman" w:hAnsi="Times New Roman"/>
                <w:sz w:val="14"/>
                <w:szCs w:val="14"/>
                <w:color w:val="auto"/>
              </w:rPr>
              <w:t>8,783</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43</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FF0FC"/>
          </w:tcPr>
          <w:p>
            <w:pPr>
              <w:jc w:val="right"/>
              <w:ind w:right="49"/>
              <w:spacing w:after="0" w:line="156" w:lineRule="exact"/>
              <w:rPr>
                <w:sz w:val="20"/>
                <w:szCs w:val="20"/>
                <w:color w:val="auto"/>
              </w:rPr>
            </w:pPr>
            <w:r>
              <w:rPr>
                <w:rFonts w:ascii="Times New Roman" w:cs="Times New Roman" w:eastAsia="Times New Roman" w:hAnsi="Times New Roman"/>
                <w:sz w:val="14"/>
                <w:szCs w:val="14"/>
                <w:color w:val="auto"/>
              </w:rPr>
              <w:t>8,826</w:t>
            </w: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FF0FC"/>
          </w:tcPr>
          <w:p>
            <w:pPr>
              <w:jc w:val="right"/>
              <w:ind w:right="50"/>
              <w:spacing w:after="0" w:line="156" w:lineRule="exact"/>
              <w:rPr>
                <w:sz w:val="20"/>
                <w:szCs w:val="20"/>
                <w:color w:val="auto"/>
              </w:rPr>
            </w:pPr>
            <w:r>
              <w:rPr>
                <w:rFonts w:ascii="Times New Roman" w:cs="Times New Roman" w:eastAsia="Times New Roman" w:hAnsi="Times New Roman"/>
                <w:sz w:val="14"/>
                <w:szCs w:val="14"/>
                <w:color w:val="auto"/>
              </w:rPr>
              <w:t>172</w:t>
            </w:r>
          </w:p>
        </w:tc>
        <w:tc>
          <w:tcPr>
            <w:tcW w:w="1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4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8,998</w:t>
            </w:r>
          </w:p>
        </w:tc>
        <w:tc>
          <w:tcPr>
            <w:tcW w:w="0" w:type="dxa"/>
            <w:vAlign w:val="bottom"/>
          </w:tcPr>
          <w:p>
            <w:pPr>
              <w:spacing w:after="0"/>
              <w:rPr>
                <w:sz w:val="1"/>
                <w:szCs w:val="1"/>
                <w:color w:val="auto"/>
              </w:rPr>
            </w:pPr>
          </w:p>
        </w:tc>
      </w:tr>
      <w:tr>
        <w:trPr>
          <w:trHeight w:val="156"/>
        </w:trPr>
        <w:tc>
          <w:tcPr>
            <w:tcW w:w="1280" w:type="dxa"/>
            <w:vAlign w:val="bottom"/>
          </w:tcPr>
          <w:p>
            <w:pPr>
              <w:jc w:val="right"/>
              <w:ind w:right="728"/>
              <w:spacing w:after="0" w:line="156" w:lineRule="exact"/>
              <w:rPr>
                <w:sz w:val="20"/>
                <w:szCs w:val="20"/>
                <w:color w:val="auto"/>
              </w:rPr>
            </w:pPr>
            <w:r>
              <w:rPr>
                <w:rFonts w:ascii="Times New Roman" w:cs="Times New Roman" w:eastAsia="Times New Roman" w:hAnsi="Times New Roman"/>
                <w:sz w:val="14"/>
                <w:szCs w:val="14"/>
                <w:color w:val="auto"/>
              </w:rPr>
              <w:t>2020</w:t>
            </w:r>
          </w:p>
        </w:tc>
        <w:tc>
          <w:tcPr>
            <w:tcW w:w="2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4,139</w:t>
            </w:r>
          </w:p>
        </w:tc>
        <w:tc>
          <w:tcPr>
            <w:tcW w:w="22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2,756</w:t>
            </w:r>
          </w:p>
        </w:tc>
        <w:tc>
          <w:tcPr>
            <w:tcW w:w="360" w:type="dxa"/>
            <w:vAlign w:val="bottom"/>
            <w:gridSpan w:val="2"/>
          </w:tcPr>
          <w:p>
            <w:pPr>
              <w:ind w:left="140"/>
              <w:spacing w:after="0" w:line="156"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1,109</w:t>
            </w:r>
          </w:p>
        </w:tc>
        <w:tc>
          <w:tcPr>
            <w:tcW w:w="280" w:type="dxa"/>
            <w:vAlign w:val="bottom"/>
            <w:gridSpan w:val="2"/>
          </w:tcPr>
          <w:p>
            <w:pPr>
              <w:jc w:val="right"/>
              <w:ind w:right="8"/>
              <w:spacing w:after="0" w:line="156"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483</w:t>
            </w:r>
          </w:p>
        </w:tc>
        <w:tc>
          <w:tcPr>
            <w:tcW w:w="22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9"/>
              <w:spacing w:after="0" w:line="156" w:lineRule="exact"/>
              <w:rPr>
                <w:sz w:val="20"/>
                <w:szCs w:val="20"/>
                <w:color w:val="auto"/>
              </w:rPr>
            </w:pPr>
            <w:r>
              <w:rPr>
                <w:rFonts w:ascii="Times New Roman" w:cs="Times New Roman" w:eastAsia="Times New Roman" w:hAnsi="Times New Roman"/>
                <w:sz w:val="14"/>
                <w:szCs w:val="14"/>
                <w:color w:val="auto"/>
              </w:rPr>
              <w:t>8,487</w:t>
            </w:r>
          </w:p>
        </w:tc>
        <w:tc>
          <w:tcPr>
            <w:tcW w:w="26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67</w:t>
            </w:r>
          </w:p>
        </w:tc>
        <w:tc>
          <w:tcPr>
            <w:tcW w:w="22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9"/>
              <w:spacing w:after="0" w:line="156" w:lineRule="exact"/>
              <w:rPr>
                <w:sz w:val="20"/>
                <w:szCs w:val="20"/>
                <w:color w:val="auto"/>
              </w:rPr>
            </w:pPr>
            <w:r>
              <w:rPr>
                <w:rFonts w:ascii="Times New Roman" w:cs="Times New Roman" w:eastAsia="Times New Roman" w:hAnsi="Times New Roman"/>
                <w:sz w:val="14"/>
                <w:szCs w:val="14"/>
                <w:color w:val="auto"/>
              </w:rPr>
              <w:t>8,554</w:t>
            </w:r>
          </w:p>
        </w:tc>
        <w:tc>
          <w:tcPr>
            <w:tcW w:w="32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50"/>
              <w:spacing w:after="0" w:line="156" w:lineRule="exact"/>
              <w:rPr>
                <w:sz w:val="20"/>
                <w:szCs w:val="20"/>
                <w:color w:val="auto"/>
              </w:rPr>
            </w:pPr>
            <w:r>
              <w:rPr>
                <w:rFonts w:ascii="Times New Roman" w:cs="Times New Roman" w:eastAsia="Times New Roman" w:hAnsi="Times New Roman"/>
                <w:sz w:val="14"/>
                <w:szCs w:val="14"/>
                <w:color w:val="auto"/>
              </w:rPr>
              <w:t>61</w:t>
            </w:r>
          </w:p>
        </w:tc>
        <w:tc>
          <w:tcPr>
            <w:tcW w:w="420" w:type="dxa"/>
            <w:vAlign w:val="bottom"/>
            <w:gridSpan w:val="2"/>
          </w:tcPr>
          <w:p>
            <w:pPr>
              <w:jc w:val="right"/>
              <w:ind w:right="1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8,615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1529080</wp:posOffset>
            </wp:positionH>
            <wp:positionV relativeFrom="paragraph">
              <wp:posOffset>-161925</wp:posOffset>
            </wp:positionV>
            <wp:extent cx="4983480" cy="16256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98348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95059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13" w:lineRule="exact"/>
        <w:rPr>
          <w:sz w:val="20"/>
          <w:szCs w:val="20"/>
          <w:color w:val="auto"/>
        </w:rPr>
      </w:pPr>
    </w:p>
    <w:p>
      <w:pPr>
        <w:ind w:left="280" w:right="120" w:hanging="272"/>
        <w:spacing w:after="0" w:line="249" w:lineRule="auto"/>
        <w:tabs>
          <w:tab w:leader="none" w:pos="2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Reimbursable expenses and other, as well as Corporate revenue, are excluded from segment revenue, but included in total revenue on the consolidated statements of comprehensive income. Amounts included in Corporate revenue may include eliminations, adjustments to reserves and impacts from hedged revenue transactions.</w:t>
      </w:r>
    </w:p>
    <w:p>
      <w:pPr>
        <w:jc w:val="both"/>
        <w:ind w:left="280" w:right="60" w:hanging="272"/>
        <w:spacing w:after="0" w:line="223" w:lineRule="auto"/>
        <w:tabs>
          <w:tab w:leader="none" w:pos="2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and other income is included in segment revenue and total revenue, however it has been presented separately in the above tables because it does not arise directly from contracts with customers. In 2022, both HWC’s and R&amp;B’s interest and other income resulted primarily from book-of-business settlements. For HWC and R&amp;B, these amounts totaled $19 million and $52 million, respectively, for the year ended December 31, 2022. For the year ended December 31, 2021, for HWC and R&amp;B, these amounts totaled $17 million and $82 million, respectively.</w:t>
      </w:r>
    </w:p>
    <w:p>
      <w:pPr>
        <w:spacing w:after="0" w:line="1" w:lineRule="exact"/>
        <w:rPr>
          <w:rFonts w:ascii="Times New Roman" w:cs="Times New Roman" w:eastAsia="Times New Roman" w:hAnsi="Times New Roman"/>
          <w:sz w:val="14"/>
          <w:szCs w:val="14"/>
          <w:color w:val="auto"/>
        </w:rPr>
      </w:pPr>
    </w:p>
    <w:p>
      <w:pPr>
        <w:ind w:left="280" w:right="40"/>
        <w:spacing w:after="0" w:line="23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comprised $55 million, $12 million and $18 million for the years ended December 31, 2022, 2021 and 2020, respectively. In 2022, the interest income earned by HWC, R&amp;B and Corporate was $8 million, $25 million and $22 million, respectively.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90" w:name="page91"/>
    <w:bookmarkEnd w:id="90"/>
    <w:p>
      <w:pPr>
        <w:ind w:right="400"/>
        <w:spacing w:after="0" w:line="265" w:lineRule="auto"/>
        <w:rPr>
          <w:sz w:val="20"/>
          <w:szCs w:val="20"/>
          <w:color w:val="auto"/>
        </w:rPr>
      </w:pPr>
      <w:r>
        <w:rPr>
          <w:rFonts w:ascii="Times New Roman" w:cs="Times New Roman" w:eastAsia="Times New Roman" w:hAnsi="Times New Roman"/>
          <w:sz w:val="18"/>
          <w:szCs w:val="18"/>
          <w:color w:val="auto"/>
        </w:rPr>
        <w:t>The following table presents revenue by the geography where our work was performed for the years ended December 31, 2022, 2021 and 2020. The reconciliation to total revenue on our consolidated statements of comprehensive income and to segment revenue is shown in the table above. The prior years’ geographic information has been retrospectively adjusted to conform to the current year presentation.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vMerge w:val="restart"/>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20" w:type="dxa"/>
            <w:vAlign w:val="bottom"/>
            <w:vMerge w:val="restart"/>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vMerge w:val="restart"/>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 revenue by geography</w:t>
            </w:r>
          </w:p>
        </w:tc>
        <w:tc>
          <w:tcPr>
            <w:tcW w:w="0" w:type="dxa"/>
            <w:vAlign w:val="bottom"/>
          </w:tcPr>
          <w:p>
            <w:pPr>
              <w:spacing w:after="0"/>
              <w:rPr>
                <w:sz w:val="1"/>
                <w:szCs w:val="1"/>
                <w:color w:val="auto"/>
              </w:rPr>
            </w:pPr>
          </w:p>
        </w:tc>
      </w:tr>
      <w:tr>
        <w:trPr>
          <w:trHeight w:val="187"/>
        </w:trPr>
        <w:tc>
          <w:tcPr>
            <w:tcW w:w="17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HWC</w:t>
            </w: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740" w:type="dxa"/>
            <w:vAlign w:val="bottom"/>
          </w:tcPr>
          <w:p>
            <w:pPr>
              <w:jc w:val="right"/>
              <w:ind w:right="1188"/>
              <w:spacing w:after="0"/>
              <w:rPr>
                <w:sz w:val="20"/>
                <w:szCs w:val="20"/>
                <w:color w:val="auto"/>
              </w:rPr>
            </w:pPr>
            <w:r>
              <w:rPr>
                <w:rFonts w:ascii="Times New Roman" w:cs="Times New Roman" w:eastAsia="Times New Roman" w:hAnsi="Times New Roman"/>
                <w:sz w:val="14"/>
                <w:szCs w:val="14"/>
                <w:color w:val="auto"/>
              </w:rPr>
              <w:t>2022</w:t>
            </w:r>
          </w:p>
        </w:tc>
        <w:tc>
          <w:tcPr>
            <w:tcW w:w="5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3,569</w:t>
            </w:r>
          </w:p>
        </w:tc>
        <w:tc>
          <w:tcPr>
            <w:tcW w:w="68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1,266</w:t>
            </w:r>
          </w:p>
        </w:tc>
        <w:tc>
          <w:tcPr>
            <w:tcW w:w="56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5,248</w:t>
            </w:r>
          </w:p>
        </w:tc>
        <w:tc>
          <w:tcPr>
            <w:tcW w:w="0" w:type="dxa"/>
            <w:vAlign w:val="bottom"/>
          </w:tcPr>
          <w:p>
            <w:pPr>
              <w:spacing w:after="0"/>
              <w:rPr>
                <w:sz w:val="1"/>
                <w:szCs w:val="1"/>
                <w:color w:val="auto"/>
              </w:rPr>
            </w:pPr>
          </w:p>
        </w:tc>
      </w:tr>
      <w:tr>
        <w:trPr>
          <w:trHeight w:val="175"/>
        </w:trPr>
        <w:tc>
          <w:tcPr>
            <w:tcW w:w="1740" w:type="dxa"/>
            <w:vAlign w:val="bottom"/>
            <w:shd w:val="clear" w:color="auto" w:fill="CFF0FC"/>
          </w:tcPr>
          <w:p>
            <w:pPr>
              <w:jc w:val="right"/>
              <w:ind w:right="1188"/>
              <w:spacing w:after="0"/>
              <w:rPr>
                <w:sz w:val="20"/>
                <w:szCs w:val="20"/>
                <w:color w:val="auto"/>
              </w:rPr>
            </w:pPr>
            <w:r>
              <w:rPr>
                <w:rFonts w:ascii="Times New Roman" w:cs="Times New Roman" w:eastAsia="Times New Roman" w:hAnsi="Times New Roman"/>
                <w:sz w:val="14"/>
                <w:szCs w:val="14"/>
                <w:color w:val="auto"/>
              </w:rPr>
              <w:t>2021</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3,456</w:t>
            </w:r>
          </w:p>
        </w:tc>
        <w:tc>
          <w:tcPr>
            <w:tcW w:w="2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1,376</w:t>
            </w: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8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399</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5,231</w:t>
            </w:r>
          </w:p>
        </w:tc>
        <w:tc>
          <w:tcPr>
            <w:tcW w:w="0" w:type="dxa"/>
            <w:vAlign w:val="bottom"/>
          </w:tcPr>
          <w:p>
            <w:pPr>
              <w:spacing w:after="0"/>
              <w:rPr>
                <w:sz w:val="1"/>
                <w:szCs w:val="1"/>
                <w:color w:val="auto"/>
              </w:rPr>
            </w:pPr>
          </w:p>
        </w:tc>
      </w:tr>
      <w:tr>
        <w:trPr>
          <w:trHeight w:val="175"/>
        </w:trPr>
        <w:tc>
          <w:tcPr>
            <w:tcW w:w="1740" w:type="dxa"/>
            <w:vAlign w:val="bottom"/>
          </w:tcPr>
          <w:p>
            <w:pPr>
              <w:jc w:val="right"/>
              <w:ind w:right="1188"/>
              <w:spacing w:after="0"/>
              <w:rPr>
                <w:sz w:val="20"/>
                <w:szCs w:val="20"/>
                <w:color w:val="auto"/>
              </w:rPr>
            </w:pPr>
            <w:r>
              <w:rPr>
                <w:rFonts w:ascii="Times New Roman" w:cs="Times New Roman" w:eastAsia="Times New Roman" w:hAnsi="Times New Roman"/>
                <w:sz w:val="14"/>
                <w:szCs w:val="14"/>
                <w:color w:val="auto"/>
              </w:rPr>
              <w:t>2020</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3,287</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1,219</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4,877</w:t>
            </w:r>
          </w:p>
        </w:tc>
        <w:tc>
          <w:tcPr>
            <w:tcW w:w="0" w:type="dxa"/>
            <w:vAlign w:val="bottom"/>
          </w:tcPr>
          <w:p>
            <w:pPr>
              <w:spacing w:after="0"/>
              <w:rPr>
                <w:sz w:val="1"/>
                <w:szCs w:val="1"/>
                <w:color w:val="auto"/>
              </w:rPr>
            </w:pPr>
          </w:p>
        </w:tc>
      </w:tr>
      <w:tr>
        <w:trPr>
          <w:trHeight w:val="175"/>
        </w:trPr>
        <w:tc>
          <w:tcPr>
            <w:tcW w:w="1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R&amp;B</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8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8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40" w:type="dxa"/>
            <w:vAlign w:val="bottom"/>
          </w:tcPr>
          <w:p>
            <w:pPr>
              <w:jc w:val="right"/>
              <w:ind w:right="1188"/>
              <w:spacing w:after="0"/>
              <w:rPr>
                <w:sz w:val="20"/>
                <w:szCs w:val="20"/>
                <w:color w:val="auto"/>
              </w:rPr>
            </w:pPr>
            <w:r>
              <w:rPr>
                <w:rFonts w:ascii="Times New Roman" w:cs="Times New Roman" w:eastAsia="Times New Roman" w:hAnsi="Times New Roman"/>
                <w:sz w:val="14"/>
                <w:szCs w:val="14"/>
                <w:color w:val="auto"/>
              </w:rPr>
              <w:t>2022</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1,328</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1,527</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529</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3,384</w:t>
            </w:r>
          </w:p>
        </w:tc>
        <w:tc>
          <w:tcPr>
            <w:tcW w:w="0" w:type="dxa"/>
            <w:vAlign w:val="bottom"/>
          </w:tcPr>
          <w:p>
            <w:pPr>
              <w:spacing w:after="0"/>
              <w:rPr>
                <w:sz w:val="1"/>
                <w:szCs w:val="1"/>
                <w:color w:val="auto"/>
              </w:rPr>
            </w:pPr>
          </w:p>
        </w:tc>
      </w:tr>
      <w:tr>
        <w:trPr>
          <w:trHeight w:val="175"/>
        </w:trPr>
        <w:tc>
          <w:tcPr>
            <w:tcW w:w="1740" w:type="dxa"/>
            <w:vAlign w:val="bottom"/>
            <w:shd w:val="clear" w:color="auto" w:fill="CFF0FC"/>
          </w:tcPr>
          <w:p>
            <w:pPr>
              <w:jc w:val="right"/>
              <w:ind w:right="1188"/>
              <w:spacing w:after="0"/>
              <w:rPr>
                <w:sz w:val="20"/>
                <w:szCs w:val="20"/>
                <w:color w:val="auto"/>
              </w:rPr>
            </w:pPr>
            <w:r>
              <w:rPr>
                <w:rFonts w:ascii="Times New Roman" w:cs="Times New Roman" w:eastAsia="Times New Roman" w:hAnsi="Times New Roman"/>
                <w:sz w:val="14"/>
                <w:szCs w:val="14"/>
                <w:color w:val="auto"/>
              </w:rPr>
              <w:t>2021</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1,295</w:t>
            </w:r>
          </w:p>
        </w:tc>
        <w:tc>
          <w:tcPr>
            <w:tcW w:w="2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1,623</w:t>
            </w: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8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551</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3,469</w:t>
            </w:r>
          </w:p>
        </w:tc>
        <w:tc>
          <w:tcPr>
            <w:tcW w:w="0" w:type="dxa"/>
            <w:vAlign w:val="bottom"/>
          </w:tcPr>
          <w:p>
            <w:pPr>
              <w:spacing w:after="0"/>
              <w:rPr>
                <w:sz w:val="1"/>
                <w:szCs w:val="1"/>
                <w:color w:val="auto"/>
              </w:rPr>
            </w:pPr>
          </w:p>
        </w:tc>
      </w:tr>
      <w:tr>
        <w:trPr>
          <w:trHeight w:val="175"/>
        </w:trPr>
        <w:tc>
          <w:tcPr>
            <w:tcW w:w="1740" w:type="dxa"/>
            <w:vAlign w:val="bottom"/>
          </w:tcPr>
          <w:p>
            <w:pPr>
              <w:jc w:val="right"/>
              <w:ind w:right="1188"/>
              <w:spacing w:after="0"/>
              <w:rPr>
                <w:sz w:val="20"/>
                <w:szCs w:val="20"/>
                <w:color w:val="auto"/>
              </w:rPr>
            </w:pPr>
            <w:r>
              <w:rPr>
                <w:rFonts w:ascii="Times New Roman" w:cs="Times New Roman" w:eastAsia="Times New Roman" w:hAnsi="Times New Roman"/>
                <w:sz w:val="14"/>
                <w:szCs w:val="14"/>
                <w:color w:val="auto"/>
              </w:rPr>
              <w:t>2020</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1,237</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1,549</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3,278</w:t>
            </w:r>
          </w:p>
        </w:tc>
        <w:tc>
          <w:tcPr>
            <w:tcW w:w="0" w:type="dxa"/>
            <w:vAlign w:val="bottom"/>
          </w:tcPr>
          <w:p>
            <w:pPr>
              <w:spacing w:after="0"/>
              <w:rPr>
                <w:sz w:val="1"/>
                <w:szCs w:val="1"/>
                <w:color w:val="auto"/>
              </w:rPr>
            </w:pPr>
          </w:p>
        </w:tc>
      </w:tr>
      <w:tr>
        <w:trPr>
          <w:trHeight w:val="175"/>
        </w:trPr>
        <w:tc>
          <w:tcPr>
            <w:tcW w:w="1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Divested Businesses</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8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8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40" w:type="dxa"/>
            <w:vAlign w:val="bottom"/>
          </w:tcPr>
          <w:p>
            <w:pPr>
              <w:jc w:val="right"/>
              <w:ind w:right="1188"/>
              <w:spacing w:after="0"/>
              <w:rPr>
                <w:sz w:val="20"/>
                <w:szCs w:val="20"/>
                <w:color w:val="auto"/>
              </w:rPr>
            </w:pPr>
            <w:r>
              <w:rPr>
                <w:rFonts w:ascii="Times New Roman" w:cs="Times New Roman" w:eastAsia="Times New Roman" w:hAnsi="Times New Roman"/>
                <w:sz w:val="14"/>
                <w:szCs w:val="14"/>
                <w:color w:val="auto"/>
              </w:rPr>
              <w:t>2022</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1740" w:type="dxa"/>
            <w:vAlign w:val="bottom"/>
            <w:shd w:val="clear" w:color="auto" w:fill="CFF0FC"/>
          </w:tcPr>
          <w:p>
            <w:pPr>
              <w:jc w:val="right"/>
              <w:ind w:right="1188"/>
              <w:spacing w:after="0"/>
              <w:rPr>
                <w:sz w:val="20"/>
                <w:szCs w:val="20"/>
                <w:color w:val="auto"/>
              </w:rPr>
            </w:pPr>
            <w:r>
              <w:rPr>
                <w:rFonts w:ascii="Times New Roman" w:cs="Times New Roman" w:eastAsia="Times New Roman" w:hAnsi="Times New Roman"/>
                <w:sz w:val="14"/>
                <w:szCs w:val="14"/>
                <w:color w:val="auto"/>
              </w:rPr>
              <w:t>2021</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53</w:t>
            </w: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8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75"/>
        </w:trPr>
        <w:tc>
          <w:tcPr>
            <w:tcW w:w="1740" w:type="dxa"/>
            <w:vAlign w:val="bottom"/>
          </w:tcPr>
          <w:p>
            <w:pPr>
              <w:jc w:val="right"/>
              <w:ind w:right="1188"/>
              <w:spacing w:after="0"/>
              <w:rPr>
                <w:sz w:val="20"/>
                <w:szCs w:val="20"/>
                <w:color w:val="auto"/>
              </w:rPr>
            </w:pPr>
            <w:r>
              <w:rPr>
                <w:rFonts w:ascii="Times New Roman" w:cs="Times New Roman" w:eastAsia="Times New Roman" w:hAnsi="Times New Roman"/>
                <w:sz w:val="14"/>
                <w:szCs w:val="14"/>
                <w:color w:val="auto"/>
              </w:rPr>
              <w:t>2020</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298</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323</w:t>
            </w:r>
          </w:p>
        </w:tc>
        <w:tc>
          <w:tcPr>
            <w:tcW w:w="0" w:type="dxa"/>
            <w:vAlign w:val="bottom"/>
          </w:tcPr>
          <w:p>
            <w:pPr>
              <w:spacing w:after="0"/>
              <w:rPr>
                <w:sz w:val="1"/>
                <w:szCs w:val="1"/>
                <w:color w:val="auto"/>
              </w:rPr>
            </w:pPr>
          </w:p>
        </w:tc>
      </w:tr>
      <w:tr>
        <w:trPr>
          <w:trHeight w:val="175"/>
        </w:trPr>
        <w:tc>
          <w:tcPr>
            <w:tcW w:w="1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Corporate</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8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8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40" w:type="dxa"/>
            <w:vAlign w:val="bottom"/>
          </w:tcPr>
          <w:p>
            <w:pPr>
              <w:jc w:val="right"/>
              <w:ind w:right="1188"/>
              <w:spacing w:after="0"/>
              <w:rPr>
                <w:sz w:val="20"/>
                <w:szCs w:val="20"/>
                <w:color w:val="auto"/>
              </w:rPr>
            </w:pPr>
            <w:r>
              <w:rPr>
                <w:rFonts w:ascii="Times New Roman" w:cs="Times New Roman" w:eastAsia="Times New Roman" w:hAnsi="Times New Roman"/>
                <w:sz w:val="14"/>
                <w:szCs w:val="14"/>
                <w:color w:val="auto"/>
              </w:rPr>
              <w:t>2022</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75"/>
        </w:trPr>
        <w:tc>
          <w:tcPr>
            <w:tcW w:w="1740" w:type="dxa"/>
            <w:vAlign w:val="bottom"/>
            <w:shd w:val="clear" w:color="auto" w:fill="CFF0FC"/>
          </w:tcPr>
          <w:p>
            <w:pPr>
              <w:jc w:val="right"/>
              <w:ind w:right="1188"/>
              <w:spacing w:after="0"/>
              <w:rPr>
                <w:sz w:val="20"/>
                <w:szCs w:val="20"/>
                <w:color w:val="auto"/>
              </w:rPr>
            </w:pPr>
            <w:r>
              <w:rPr>
                <w:rFonts w:ascii="Times New Roman" w:cs="Times New Roman" w:eastAsia="Times New Roman" w:hAnsi="Times New Roman"/>
                <w:sz w:val="14"/>
                <w:szCs w:val="14"/>
                <w:color w:val="auto"/>
              </w:rPr>
              <w:t>2021</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2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8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5"/>
        </w:trPr>
        <w:tc>
          <w:tcPr>
            <w:tcW w:w="1740" w:type="dxa"/>
            <w:vAlign w:val="bottom"/>
          </w:tcPr>
          <w:p>
            <w:pPr>
              <w:jc w:val="right"/>
              <w:ind w:right="1188"/>
              <w:spacing w:after="0"/>
              <w:rPr>
                <w:sz w:val="20"/>
                <w:szCs w:val="20"/>
                <w:color w:val="auto"/>
              </w:rPr>
            </w:pPr>
            <w:r>
              <w:rPr>
                <w:rFonts w:ascii="Times New Roman" w:cs="Times New Roman" w:eastAsia="Times New Roman" w:hAnsi="Times New Roman"/>
                <w:sz w:val="14"/>
                <w:szCs w:val="14"/>
                <w:color w:val="auto"/>
              </w:rPr>
              <w:t>2020</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69"/>
        </w:trPr>
        <w:tc>
          <w:tcPr>
            <w:tcW w:w="1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740" w:type="dxa"/>
            <w:vAlign w:val="bottom"/>
          </w:tcPr>
          <w:p>
            <w:pPr>
              <w:jc w:val="right"/>
              <w:ind w:right="1188"/>
              <w:spacing w:after="0"/>
              <w:rPr>
                <w:sz w:val="20"/>
                <w:szCs w:val="20"/>
                <w:color w:val="auto"/>
              </w:rPr>
            </w:pPr>
            <w:r>
              <w:rPr>
                <w:rFonts w:ascii="Times New Roman" w:cs="Times New Roman" w:eastAsia="Times New Roman" w:hAnsi="Times New Roman"/>
                <w:sz w:val="14"/>
                <w:szCs w:val="14"/>
                <w:color w:val="auto"/>
              </w:rPr>
              <w:t>2022</w:t>
            </w:r>
          </w:p>
        </w:tc>
        <w:tc>
          <w:tcPr>
            <w:tcW w:w="220" w:type="dxa"/>
            <w:vAlign w:val="bottom"/>
          </w:tcPr>
          <w:p>
            <w:pPr>
              <w:spacing w:after="0"/>
              <w:rPr>
                <w:sz w:val="15"/>
                <w:szCs w:val="15"/>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4,904</w:t>
            </w:r>
          </w:p>
        </w:tc>
        <w:tc>
          <w:tcPr>
            <w:tcW w:w="240" w:type="dxa"/>
            <w:vAlign w:val="bottom"/>
          </w:tcPr>
          <w:p>
            <w:pPr>
              <w:spacing w:after="0"/>
              <w:rPr>
                <w:sz w:val="15"/>
                <w:szCs w:val="15"/>
                <w:color w:val="auto"/>
              </w:rPr>
            </w:pPr>
          </w:p>
        </w:tc>
        <w:tc>
          <w:tcPr>
            <w:tcW w:w="4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2,802</w:t>
            </w:r>
          </w:p>
        </w:tc>
        <w:tc>
          <w:tcPr>
            <w:tcW w:w="220" w:type="dxa"/>
            <w:vAlign w:val="bottom"/>
          </w:tcPr>
          <w:p>
            <w:pPr>
              <w:spacing w:after="0"/>
              <w:rPr>
                <w:sz w:val="15"/>
                <w:szCs w:val="15"/>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943</w:t>
            </w:r>
          </w:p>
        </w:tc>
        <w:tc>
          <w:tcPr>
            <w:tcW w:w="2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8,649</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40" w:type="dxa"/>
            <w:vAlign w:val="bottom"/>
            <w:tcBorders>
              <w:bottom w:val="single" w:sz="8" w:color="CFF0FC"/>
            </w:tcBorders>
            <w:shd w:val="clear" w:color="auto" w:fill="CFF0FC"/>
          </w:tcPr>
          <w:p>
            <w:pPr>
              <w:jc w:val="right"/>
              <w:ind w:right="1188"/>
              <w:spacing w:after="0" w:line="156" w:lineRule="exact"/>
              <w:rPr>
                <w:sz w:val="20"/>
                <w:szCs w:val="20"/>
                <w:color w:val="auto"/>
              </w:rPr>
            </w:pPr>
            <w:r>
              <w:rPr>
                <w:rFonts w:ascii="Times New Roman" w:cs="Times New Roman" w:eastAsia="Times New Roman" w:hAnsi="Times New Roman"/>
                <w:sz w:val="14"/>
                <w:szCs w:val="14"/>
                <w:color w:val="auto"/>
              </w:rPr>
              <w:t>2021</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jc w:val="right"/>
              <w:ind w:right="16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top w:val="single" w:sz="8" w:color="auto"/>
              <w:bottom w:val="single" w:sz="8" w:color="auto"/>
            </w:tcBorders>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4,776</w:t>
            </w:r>
          </w:p>
        </w:tc>
        <w:tc>
          <w:tcPr>
            <w:tcW w:w="2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top w:val="single" w:sz="8" w:color="auto"/>
              <w:bottom w:val="single" w:sz="8" w:color="auto"/>
            </w:tcBorders>
            <w:shd w:val="clear" w:color="auto" w:fill="CFF0FC"/>
          </w:tcPr>
          <w:p>
            <w:pPr>
              <w:jc w:val="right"/>
              <w:ind w:right="28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bottom w:val="single" w:sz="8" w:color="auto"/>
            </w:tcBorders>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3,055</w:t>
            </w:r>
          </w:p>
        </w:tc>
        <w:tc>
          <w:tcPr>
            <w:tcW w:w="2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jc w:val="right"/>
              <w:ind w:right="18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Borders>
              <w:top w:val="single" w:sz="8" w:color="auto"/>
              <w:bottom w:val="single" w:sz="8" w:color="auto"/>
            </w:tcBorders>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952</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000" w:type="dxa"/>
            <w:vAlign w:val="bottom"/>
            <w:tcBorders>
              <w:top w:val="single" w:sz="8" w:color="auto"/>
              <w:bottom w:val="single" w:sz="8" w:color="auto"/>
            </w:tcBorders>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8,783</w:t>
            </w:r>
          </w:p>
        </w:tc>
        <w:tc>
          <w:tcPr>
            <w:tcW w:w="0" w:type="dxa"/>
            <w:vAlign w:val="bottom"/>
          </w:tcPr>
          <w:p>
            <w:pPr>
              <w:spacing w:after="0"/>
              <w:rPr>
                <w:sz w:val="1"/>
                <w:szCs w:val="1"/>
                <w:color w:val="auto"/>
              </w:rPr>
            </w:pPr>
          </w:p>
        </w:tc>
      </w:tr>
      <w:tr>
        <w:trPr>
          <w:trHeight w:val="156"/>
        </w:trPr>
        <w:tc>
          <w:tcPr>
            <w:tcW w:w="1740" w:type="dxa"/>
            <w:vAlign w:val="bottom"/>
          </w:tcPr>
          <w:p>
            <w:pPr>
              <w:jc w:val="right"/>
              <w:ind w:right="1188"/>
              <w:spacing w:after="0" w:line="156" w:lineRule="exact"/>
              <w:rPr>
                <w:sz w:val="20"/>
                <w:szCs w:val="20"/>
                <w:color w:val="auto"/>
              </w:rPr>
            </w:pPr>
            <w:r>
              <w:rPr>
                <w:rFonts w:ascii="Times New Roman" w:cs="Times New Roman" w:eastAsia="Times New Roman" w:hAnsi="Times New Roman"/>
                <w:sz w:val="14"/>
                <w:szCs w:val="14"/>
                <w:color w:val="auto"/>
              </w:rPr>
              <w:t>2020</w:t>
            </w:r>
          </w:p>
        </w:tc>
        <w:tc>
          <w:tcPr>
            <w:tcW w:w="540" w:type="dxa"/>
            <w:vAlign w:val="bottom"/>
            <w:gridSpan w:val="2"/>
          </w:tcPr>
          <w:p>
            <w:pPr>
              <w:jc w:val="right"/>
              <w:ind w:right="16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860" w:type="dxa"/>
            <w:vAlign w:val="bottom"/>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4,550</w:t>
            </w:r>
          </w:p>
        </w:tc>
        <w:tc>
          <w:tcPr>
            <w:tcW w:w="680" w:type="dxa"/>
            <w:vAlign w:val="bottom"/>
            <w:gridSpan w:val="2"/>
          </w:tcPr>
          <w:p>
            <w:pPr>
              <w:jc w:val="right"/>
              <w:ind w:right="28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3,068</w:t>
            </w:r>
          </w:p>
        </w:tc>
        <w:tc>
          <w:tcPr>
            <w:tcW w:w="560" w:type="dxa"/>
            <w:vAlign w:val="bottom"/>
            <w:gridSpan w:val="2"/>
          </w:tcPr>
          <w:p>
            <w:pPr>
              <w:jc w:val="right"/>
              <w:ind w:right="18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800" w:type="dxa"/>
            <w:vAlign w:val="bottom"/>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869</w:t>
            </w:r>
          </w:p>
        </w:tc>
        <w:tc>
          <w:tcPr>
            <w:tcW w:w="34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000" w:type="dxa"/>
            <w:vAlign w:val="bottom"/>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8,487</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2633345</wp:posOffset>
            </wp:positionH>
            <wp:positionV relativeFrom="paragraph">
              <wp:posOffset>-161925</wp:posOffset>
            </wp:positionV>
            <wp:extent cx="3150870" cy="16256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150870" cy="16256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73"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The Company reports accounts receivable, net on the consolidated balance sheet, which includes billed and unbilled receivables and current contract assets. In addition to accounts receivable, net, the Company had the following non-current contract assets and deferred revenue balances at December 31, 2022 and 2021: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04"/>
        </w:trPr>
        <w:tc>
          <w:tcPr>
            <w:tcW w:w="754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8"/>
                <w:szCs w:val="18"/>
                <w:color w:val="auto"/>
              </w:rPr>
              <w:t>Billed receivables, net of allowance for doubtful accounts of $46 million and $45</w:t>
            </w:r>
          </w:p>
        </w:tc>
        <w:tc>
          <w:tcPr>
            <w:tcW w:w="18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r>
      <w:tr>
        <w:trPr>
          <w:trHeight w:val="248"/>
        </w:trPr>
        <w:tc>
          <w:tcPr>
            <w:tcW w:w="7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million</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1,464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1,504</w:t>
            </w:r>
          </w:p>
        </w:tc>
      </w:tr>
      <w:tr>
        <w:trPr>
          <w:trHeight w:val="23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180" w:type="dxa"/>
            <w:vAlign w:val="bottom"/>
          </w:tcPr>
          <w:p>
            <w:pPr>
              <w:spacing w:after="0"/>
              <w:rPr>
                <w:sz w:val="20"/>
                <w:szCs w:val="20"/>
                <w:color w:val="auto"/>
              </w:rPr>
            </w:pPr>
          </w:p>
        </w:tc>
        <w:tc>
          <w:tcPr>
            <w:tcW w:w="1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431</w:t>
            </w:r>
          </w:p>
        </w:tc>
      </w:tr>
      <w:tr>
        <w:trPr>
          <w:trHeight w:val="243"/>
        </w:trPr>
        <w:tc>
          <w:tcPr>
            <w:tcW w:w="7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contract assets</w:t>
            </w:r>
          </w:p>
        </w:tc>
        <w:tc>
          <w:tcPr>
            <w:tcW w:w="18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435</w:t>
            </w:r>
          </w:p>
        </w:tc>
      </w:tr>
      <w:tr>
        <w:trPr>
          <w:trHeight w:val="236"/>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2,387</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2,370</w:t>
            </w:r>
          </w:p>
        </w:tc>
      </w:tr>
      <w:tr>
        <w:trPr>
          <w:trHeight w:val="20"/>
        </w:trPr>
        <w:tc>
          <w:tcPr>
            <w:tcW w:w="7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23"/>
        </w:trPr>
        <w:tc>
          <w:tcPr>
            <w:tcW w:w="7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accounts receivable, net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w:t>
            </w:r>
          </w:p>
        </w:tc>
      </w:tr>
      <w:tr>
        <w:trPr>
          <w:trHeight w:val="23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contract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532</w:t>
            </w:r>
          </w:p>
        </w:tc>
      </w:tr>
      <w:tr>
        <w:trPr>
          <w:trHeight w:val="236"/>
        </w:trPr>
        <w:tc>
          <w:tcPr>
            <w:tcW w:w="7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5947410</wp:posOffset>
            </wp:positionH>
            <wp:positionV relativeFrom="paragraph">
              <wp:posOffset>-675640</wp:posOffset>
            </wp:positionV>
            <wp:extent cx="68580" cy="18859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-333375</wp:posOffset>
            </wp:positionV>
            <wp:extent cx="68580" cy="1714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-7620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receives payments from customers based on billing schedules or terms as written in our contracts. Those balances denoted as contract assets relate to situations where we have completed some or all performance under the contract, however our right to consideration is conditional. Contract assets result most materially in our Medicare intermediary businesses. The significant increases in both current and non-current contract assets relate to our direct-to-consumer Medicare broking business. Billed and unbilled receivables are recorded when the right to consideration becomes unconditional. Deferred revenue relates to payments received in advance of performance under the contract and is recognized as revenue as (or when) we perform under the contract.</w:t>
      </w:r>
    </w:p>
    <w:p>
      <w:pPr>
        <w:spacing w:after="0" w:line="186"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Accounts receivable are stated at estimated net realizable values. The following table presents the changes in our allowance for doubtful accounts for the years ended December 31, 2022, 2021 and 2020.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4240" w:type="dxa"/>
            <w:vAlign w:val="bottom"/>
          </w:tcPr>
          <w:p>
            <w:pPr>
              <w:spacing w:after="0"/>
              <w:rPr>
                <w:sz w:val="16"/>
                <w:szCs w:val="16"/>
                <w:color w:val="auto"/>
              </w:rPr>
            </w:pPr>
          </w:p>
        </w:tc>
        <w:tc>
          <w:tcPr>
            <w:tcW w:w="3400" w:type="dxa"/>
            <w:vAlign w:val="bottom"/>
            <w:gridSpan w:val="2"/>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6"/>
                <w:szCs w:val="16"/>
                <w:color w:val="auto"/>
              </w:rPr>
            </w:pPr>
          </w:p>
        </w:tc>
        <w:tc>
          <w:tcPr>
            <w:tcW w:w="1260" w:type="dxa"/>
            <w:vAlign w:val="bottom"/>
            <w:gridSpan w:val="2"/>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6"/>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300" w:type="dxa"/>
            <w:vAlign w:val="bottom"/>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36</w:t>
            </w:r>
          </w:p>
        </w:tc>
      </w:tr>
      <w:tr>
        <w:trPr>
          <w:trHeight w:val="238"/>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charged to costs and expenses</w:t>
            </w:r>
          </w:p>
        </w:tc>
        <w:tc>
          <w:tcPr>
            <w:tcW w:w="2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28</w:t>
            </w:r>
          </w:p>
        </w:tc>
      </w:tr>
      <w:tr>
        <w:trPr>
          <w:trHeight w:val="247"/>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Deductions/other movements</w:t>
            </w:r>
          </w:p>
        </w:tc>
        <w:tc>
          <w:tcPr>
            <w:tcW w:w="23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6"/>
              </w:rPr>
              <w:t>(20 )</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6"/>
              </w:rPr>
              <w:t>(18 )</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38"/>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23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w:t>
            </w:r>
          </w:p>
        </w:tc>
      </w:tr>
      <w:tr>
        <w:trPr>
          <w:trHeight w:val="276"/>
        </w:trPr>
        <w:tc>
          <w:tcPr>
            <w:tcW w:w="4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230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40</w:t>
            </w:r>
          </w:p>
        </w:tc>
      </w:tr>
      <w:tr>
        <w:trPr>
          <w:trHeight w:val="632"/>
        </w:trPr>
        <w:tc>
          <w:tcPr>
            <w:tcW w:w="4240" w:type="dxa"/>
            <w:vAlign w:val="bottom"/>
          </w:tcPr>
          <w:p>
            <w:pPr>
              <w:spacing w:after="0"/>
              <w:rPr>
                <w:sz w:val="24"/>
                <w:szCs w:val="24"/>
                <w:color w:val="auto"/>
              </w:rPr>
            </w:pPr>
          </w:p>
        </w:tc>
        <w:tc>
          <w:tcPr>
            <w:tcW w:w="230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rPr>
              <w:t>89</w:t>
            </w: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01"/>
        </w:trPr>
        <w:tc>
          <w:tcPr>
            <w:tcW w:w="4240" w:type="dxa"/>
            <w:vAlign w:val="bottom"/>
            <w:tcBorders>
              <w:bottom w:val="single" w:sz="8" w:color="9A9A9A"/>
            </w:tcBorders>
          </w:tcPr>
          <w:p>
            <w:pPr>
              <w:spacing w:after="0"/>
              <w:rPr>
                <w:sz w:val="8"/>
                <w:szCs w:val="8"/>
                <w:color w:val="auto"/>
              </w:rPr>
            </w:pPr>
          </w:p>
        </w:tc>
        <w:tc>
          <w:tcPr>
            <w:tcW w:w="23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5082540</wp:posOffset>
            </wp:positionH>
            <wp:positionV relativeFrom="paragraph">
              <wp:posOffset>-513080</wp:posOffset>
            </wp:positionV>
            <wp:extent cx="10287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-495935</wp:posOffset>
            </wp:positionV>
            <wp:extent cx="10287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-513080</wp:posOffset>
            </wp:positionV>
            <wp:extent cx="10287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-495935</wp:posOffset>
            </wp:positionV>
            <wp:extent cx="10287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91" w:name="page92"/>
    <w:bookmarkEnd w:id="91"/>
    <w:p>
      <w:pPr>
        <w:ind w:right="440"/>
        <w:spacing w:after="0" w:line="281" w:lineRule="auto"/>
        <w:rPr>
          <w:sz w:val="20"/>
          <w:szCs w:val="20"/>
          <w:color w:val="auto"/>
        </w:rPr>
      </w:pPr>
      <w:r>
        <w:rPr>
          <w:rFonts w:ascii="Times New Roman" w:cs="Times New Roman" w:eastAsia="Times New Roman" w:hAnsi="Times New Roman"/>
          <w:sz w:val="18"/>
          <w:szCs w:val="18"/>
          <w:color w:val="auto"/>
        </w:rPr>
        <w:t xml:space="preserve">The changes in our allowance for doubtful accounts presented above do not include receivables that were impaired as a result of the divestment of our Russian businesses in March 2022. See Note 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Acquisitions and Divestitures.</w:t>
      </w:r>
    </w:p>
    <w:p>
      <w:pPr>
        <w:spacing w:after="0" w:line="109"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During the year ended December 31, 2022, revenue of approximately $430 million was recognized that was reflected as deferred revenue at December 31, 2021.</w:t>
      </w:r>
    </w:p>
    <w:p>
      <w:pPr>
        <w:spacing w:after="0" w:line="10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During the year ended December 31, 2022, the Company recognized revenue of approximately $25 million related to performance obligations satisfied in a prior period.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173"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The Company has contracts for which performance obligations have not been satisfied as of December 31, 2022 or have been partially satisfied as of this date. The following table shows the expected timing for the satisfaction of the remaining performance obligations. This table does not include contract renewals or variable consideration, which was excluded from the transaction prices in accordance with the guidance on constraining estimates of variable consideration.</w:t>
      </w:r>
    </w:p>
    <w:p>
      <w:pPr>
        <w:spacing w:after="0" w:line="128" w:lineRule="exact"/>
        <w:rPr>
          <w:sz w:val="20"/>
          <w:szCs w:val="20"/>
          <w:color w:val="auto"/>
        </w:rPr>
      </w:pPr>
    </w:p>
    <w:p>
      <w:pPr>
        <w:ind w:right="720"/>
        <w:spacing w:after="0" w:line="281" w:lineRule="auto"/>
        <w:rPr>
          <w:sz w:val="20"/>
          <w:szCs w:val="20"/>
          <w:color w:val="auto"/>
        </w:rPr>
      </w:pPr>
      <w:r>
        <w:rPr>
          <w:rFonts w:ascii="Times New Roman" w:cs="Times New Roman" w:eastAsia="Times New Roman" w:hAnsi="Times New Roman"/>
          <w:sz w:val="18"/>
          <w:szCs w:val="18"/>
          <w:color w:val="auto"/>
        </w:rPr>
        <w:t>In addition, in accordance with ASC 606, the Company has elected not to disclose the remaining performance obligations when one or both of the following circumstances apply:</w:t>
      </w:r>
    </w:p>
    <w:p>
      <w:pPr>
        <w:spacing w:after="0" w:line="55" w:lineRule="exact"/>
        <w:rPr>
          <w:sz w:val="20"/>
          <w:szCs w:val="20"/>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obligations which are part of a contract that has an original expected duration of less than one year, and</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obligations satisfied in accordance with ASC 606-10-55-18 (‘right to invoice’).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2025 onward</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4"/>
        </w:trPr>
        <w:tc>
          <w:tcPr>
            <w:tcW w:w="614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8"/>
                <w:szCs w:val="18"/>
                <w:color w:val="auto"/>
              </w:rPr>
              <w:t>Revenue expected to be recognized on contracts as of</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r>
      <w:tr>
        <w:trPr>
          <w:trHeight w:val="248"/>
        </w:trPr>
        <w:tc>
          <w:tcPr>
            <w:tcW w:w="6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761</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489</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566</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1,816</w:t>
            </w:r>
          </w:p>
        </w:tc>
      </w:tr>
    </w:tbl>
    <w:p>
      <w:pPr>
        <w:spacing w:after="0" w:line="130"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Since most of the Company’s contracts are cancellable with less than one year’s notice and have no substantive penalty for cancellation, the majority of the Company’s remaining performance obligations as of December 31, 2022 have been excluded from the table above.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or fulfill a contract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incurs costs to obtain or fulfill contracts which it would not incur if a contract with a customer was not executed.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categories of costs that are capitalized and deferred over the expected life of a contract.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Costs to fulfill</w:t>
            </w:r>
          </w:p>
        </w:tc>
        <w:tc>
          <w:tcPr>
            <w:tcW w:w="4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31"/>
        </w:trPr>
        <w:tc>
          <w:tcPr>
            <w:tcW w:w="74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124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jc w:val="right"/>
              <w:ind w:right="394"/>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4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24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6"/>
                <w:szCs w:val="16"/>
                <w:color w:val="auto"/>
              </w:rPr>
            </w:pPr>
          </w:p>
        </w:tc>
        <w:tc>
          <w:tcPr>
            <w:tcW w:w="1420" w:type="dxa"/>
            <w:vAlign w:val="bottom"/>
            <w:gridSpan w:val="2"/>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6"/>
        </w:trPr>
        <w:tc>
          <w:tcPr>
            <w:tcW w:w="5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1240" w:type="dxa"/>
            <w:vAlign w:val="bottom"/>
            <w:tcBorders>
              <w:top w:val="single" w:sz="8" w:color="auto"/>
            </w:tcBorders>
            <w:shd w:val="clear" w:color="auto" w:fill="CFF0FC"/>
          </w:tcPr>
          <w:p>
            <w:pPr>
              <w:jc w:val="right"/>
              <w:ind w:right="10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189</w:t>
            </w:r>
          </w:p>
        </w:tc>
        <w:tc>
          <w:tcPr>
            <w:tcW w:w="200" w:type="dxa"/>
            <w:vAlign w:val="bottom"/>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jc w:val="right"/>
              <w:ind w:right="103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191</w:t>
            </w:r>
          </w:p>
        </w:tc>
        <w:tc>
          <w:tcPr>
            <w:tcW w:w="1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162</w:t>
            </w:r>
          </w:p>
        </w:tc>
      </w:tr>
      <w:tr>
        <w:trPr>
          <w:trHeight w:val="238"/>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capitalized costs</w:t>
            </w:r>
          </w:p>
        </w:tc>
        <w:tc>
          <w:tcPr>
            <w:tcW w:w="1240" w:type="dxa"/>
            <w:vAlign w:val="bottom"/>
          </w:tcPr>
          <w:p>
            <w:pPr>
              <w:spacing w:after="0"/>
              <w:rPr>
                <w:sz w:val="20"/>
                <w:szCs w:val="20"/>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421</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454</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455</w:t>
            </w:r>
          </w:p>
        </w:tc>
      </w:tr>
      <w:tr>
        <w:trPr>
          <w:trHeight w:val="247"/>
        </w:trPr>
        <w:tc>
          <w:tcPr>
            <w:tcW w:w="5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24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(407 )</w:t>
            </w: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1"/>
              </w:rPr>
              <w:t>(451 )</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(428 )</w:t>
            </w:r>
          </w:p>
        </w:tc>
      </w:tr>
      <w:tr>
        <w:trPr>
          <w:trHeight w:val="238"/>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Disposals</w:t>
            </w:r>
          </w:p>
        </w:tc>
        <w:tc>
          <w:tcPr>
            <w:tcW w:w="50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Impairments</w:t>
            </w:r>
          </w:p>
        </w:tc>
        <w:tc>
          <w:tcPr>
            <w:tcW w:w="124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8"/>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w:t>
            </w:r>
          </w:p>
        </w:tc>
      </w:tr>
      <w:tr>
        <w:trPr>
          <w:trHeight w:val="276"/>
        </w:trPr>
        <w:tc>
          <w:tcPr>
            <w:tcW w:w="57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end of the year</w:t>
            </w:r>
          </w:p>
        </w:tc>
        <w:tc>
          <w:tcPr>
            <w:tcW w:w="1240" w:type="dxa"/>
            <w:vAlign w:val="bottom"/>
            <w:tcBorders>
              <w:bottom w:val="single" w:sz="8" w:color="auto"/>
            </w:tcBorders>
            <w:shd w:val="clear" w:color="auto" w:fill="CFF0FC"/>
          </w:tcPr>
          <w:p>
            <w:pPr>
              <w:jc w:val="right"/>
              <w:ind w:right="10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auto"/>
            </w:tcBorders>
            <w:shd w:val="clear" w:color="auto" w:fill="CFF0FC"/>
          </w:tcPr>
          <w:p>
            <w:pPr>
              <w:jc w:val="right"/>
              <w:ind w:right="103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189</w:t>
            </w:r>
          </w:p>
        </w:tc>
        <w:tc>
          <w:tcPr>
            <w:tcW w:w="1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191</w:t>
            </w:r>
          </w:p>
        </w:tc>
      </w:tr>
      <w:tr>
        <w:trPr>
          <w:trHeight w:val="416"/>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 — Segment Information</w:t>
            </w: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78"/>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WTW has two reportable operating segments or business areas:</w:t>
            </w: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24"/>
        </w:trPr>
        <w:tc>
          <w:tcPr>
            <w:tcW w:w="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 Wealth &amp; Career (‘HWC’); and</w:t>
            </w: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24"/>
        </w:trPr>
        <w:tc>
          <w:tcPr>
            <w:tcW w:w="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&amp; Broking (‘R&amp;B’).</w:t>
            </w: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4765675</wp:posOffset>
            </wp:positionH>
            <wp:positionV relativeFrom="paragraph">
              <wp:posOffset>-949960</wp:posOffset>
            </wp:positionV>
            <wp:extent cx="12001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-932815</wp:posOffset>
            </wp:positionV>
            <wp:extent cx="12001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-949960</wp:posOffset>
            </wp:positionV>
            <wp:extent cx="1111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-932815</wp:posOffset>
            </wp:positionV>
            <wp:extent cx="1111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2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WTW’s chief operating decision maker is its chief executive officer. We determined that the operational data used by the chief operating decision maker is at the segment level. Management bases strategic goals and decisions on these segments and the data presented below is used to assess the adequacy of strategic decisions and the methods of achieving these strategies and related financial results. Management evaluates the performance of its segments and allocates resources to them based on net operating income on a pre-tax basis.</w:t>
      </w:r>
    </w:p>
    <w:p>
      <w:pPr>
        <w:spacing w:after="0" w:line="128"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The Company experiences seasonal fluctuations of its revenue. Revenue is typically higher during the Company’s first and fourth quarters due primarily to the timing of broking-related activities.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92" w:name="page93"/>
    <w:bookmarkEnd w:id="92"/>
    <w:p>
      <w:pPr>
        <w:ind w:right="20"/>
        <w:spacing w:after="0" w:line="256" w:lineRule="auto"/>
        <w:rPr>
          <w:sz w:val="20"/>
          <w:szCs w:val="20"/>
          <w:color w:val="auto"/>
        </w:rPr>
      </w:pPr>
      <w:r>
        <w:rPr>
          <w:rFonts w:ascii="Times New Roman" w:cs="Times New Roman" w:eastAsia="Times New Roman" w:hAnsi="Times New Roman"/>
          <w:sz w:val="18"/>
          <w:szCs w:val="18"/>
          <w:color w:val="auto"/>
        </w:rPr>
        <w:t>Under the segment structure and for internal and segment reporting, WTW segment revenue includes commissions and fees, interest and other income. U.S. GAAP revenue also includes amounts that were directly incurred on behalf of our clients and reimbursed by them (reimbursable expenses), which are removed from segment revenue. Segment operating income excludes certain costs, including (i) amortization of intangibles; (ii) restructuring costs; (iii) certain transaction and transformation expenses; (iv) certain litigation provisions; and (v) to the extent that the actual expense based upon which allocations are made differs from the forecast/budget amount, a reconciling item will be created between internally-allocated expenses and the actual expenses that we report for U.S. GAAP purposes.</w:t>
      </w:r>
    </w:p>
    <w:p>
      <w:pPr>
        <w:spacing w:after="0" w:line="132"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The following table presents segment revenue and segment operating income for our reportable segments for the years ended December 31, 2022, 2021 and 2020. The prior years’ information has been retrospectively adjusted to conform to the current year presentation.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Segment revenue</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Segment operating income</w:t>
            </w:r>
          </w:p>
        </w:tc>
        <w:tc>
          <w:tcPr>
            <w:tcW w:w="960" w:type="dxa"/>
            <w:vAlign w:val="bottom"/>
            <w:tcBorders>
              <w:bottom w:val="single" w:sz="8" w:color="auto"/>
            </w:tcBorders>
          </w:tcPr>
          <w:p>
            <w:pPr>
              <w:spacing w:after="0"/>
              <w:rPr>
                <w:sz w:val="16"/>
                <w:szCs w:val="16"/>
                <w:color w:val="auto"/>
              </w:rPr>
            </w:pPr>
          </w:p>
        </w:tc>
      </w:tr>
      <w:tr>
        <w:trPr>
          <w:trHeight w:val="169"/>
        </w:trPr>
        <w:tc>
          <w:tcPr>
            <w:tcW w:w="3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60" w:type="dxa"/>
            <w:vAlign w:val="bottom"/>
            <w:tcBorders>
              <w:bottom w:val="single" w:sz="8" w:color="auto"/>
            </w:tcBorders>
          </w:tcPr>
          <w:p>
            <w:pPr>
              <w:spacing w:after="0"/>
              <w:rPr>
                <w:sz w:val="14"/>
                <w:szCs w:val="14"/>
                <w:color w:val="auto"/>
              </w:rPr>
            </w:pPr>
          </w:p>
        </w:tc>
      </w:tr>
      <w:tr>
        <w:trPr>
          <w:trHeight w:val="169"/>
        </w:trPr>
        <w:tc>
          <w:tcPr>
            <w:tcW w:w="3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6"/>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HWC</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5,287</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5,268</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4,895</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1,346</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1,236</w:t>
            </w:r>
          </w:p>
        </w:tc>
      </w:tr>
      <w:tr>
        <w:trPr>
          <w:trHeight w:val="238"/>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R&amp;B</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3,564</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3,316</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835</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714</w:t>
            </w:r>
          </w:p>
        </w:tc>
      </w:tr>
      <w:tr>
        <w:trPr>
          <w:trHeight w:val="276"/>
        </w:trPr>
        <w:tc>
          <w:tcPr>
            <w:tcW w:w="3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8,747</w:t>
            </w:r>
          </w:p>
        </w:tc>
        <w:tc>
          <w:tcPr>
            <w:tcW w:w="100" w:type="dxa"/>
            <w:vAlign w:val="bottom"/>
            <w:tcBorders>
              <w:bottom w:val="single" w:sz="8" w:color="auto"/>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8,832</w:t>
            </w:r>
          </w:p>
        </w:tc>
        <w:tc>
          <w:tcPr>
            <w:tcW w:w="1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8,211</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4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2,181</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1,950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2873375</wp:posOffset>
            </wp:positionH>
            <wp:positionV relativeFrom="paragraph">
              <wp:posOffset>-24765</wp:posOffset>
            </wp:positionV>
            <wp:extent cx="939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2873375</wp:posOffset>
            </wp:positionH>
            <wp:positionV relativeFrom="paragraph">
              <wp:posOffset>-7620</wp:posOffset>
            </wp:positionV>
            <wp:extent cx="939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-24765</wp:posOffset>
            </wp:positionV>
            <wp:extent cx="939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-7620</wp:posOffset>
            </wp:positionV>
            <wp:extent cx="939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4611370</wp:posOffset>
            </wp:positionH>
            <wp:positionV relativeFrom="paragraph">
              <wp:posOffset>-24765</wp:posOffset>
            </wp:positionV>
            <wp:extent cx="8572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4611370</wp:posOffset>
            </wp:positionH>
            <wp:positionV relativeFrom="paragraph">
              <wp:posOffset>-7620</wp:posOffset>
            </wp:positionV>
            <wp:extent cx="8572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-24765</wp:posOffset>
            </wp:positionV>
            <wp:extent cx="8572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-7620</wp:posOffset>
            </wp:positionV>
            <wp:extent cx="8572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-24765</wp:posOffset>
            </wp:positionV>
            <wp:extent cx="8572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-7620</wp:posOffset>
            </wp:positionV>
            <wp:extent cx="8572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3"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The following table presents reconciliations of the information reported by segment to the Company’s consolidated amounts reported for the years ended December 31, 2022, 2021 and 2020.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2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8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segment revenue</w:t>
            </w:r>
          </w:p>
        </w:tc>
        <w:tc>
          <w:tcPr>
            <w:tcW w:w="860" w:type="dxa"/>
            <w:vAlign w:val="bottom"/>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8,747</w:t>
            </w:r>
          </w:p>
        </w:tc>
        <w:tc>
          <w:tcPr>
            <w:tcW w:w="50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8,832</w:t>
            </w:r>
          </w:p>
        </w:tc>
        <w:tc>
          <w:tcPr>
            <w:tcW w:w="1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8,211</w:t>
            </w: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200"/>
              <w:spacing w:after="0" w:line="247" w:lineRule="exact"/>
              <w:rPr>
                <w:sz w:val="20"/>
                <w:szCs w:val="20"/>
                <w:color w:val="auto"/>
              </w:rPr>
            </w:pPr>
            <w:r>
              <w:rPr>
                <w:rFonts w:ascii="Times New Roman" w:cs="Times New Roman" w:eastAsia="Times New Roman" w:hAnsi="Times New Roman"/>
                <w:sz w:val="18"/>
                <w:szCs w:val="18"/>
                <w:color w:val="auto"/>
              </w:rPr>
              <w:t xml:space="preserve">Divested businesses </w:t>
            </w:r>
            <w:r>
              <w:rPr>
                <w:rFonts w:ascii="Times New Roman" w:cs="Times New Roman" w:eastAsia="Times New Roman" w:hAnsi="Times New Roman"/>
                <w:sz w:val="24"/>
                <w:szCs w:val="24"/>
                <w:color w:val="auto"/>
                <w:vertAlign w:val="superscript"/>
              </w:rPr>
              <w:t>(i)</w:t>
            </w:r>
          </w:p>
        </w:tc>
        <w:tc>
          <w:tcPr>
            <w:tcW w:w="86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Reimbursable expenses and other</w:t>
            </w:r>
          </w:p>
        </w:tc>
        <w:tc>
          <w:tcPr>
            <w:tcW w:w="8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119</w:t>
            </w:r>
          </w:p>
        </w:tc>
        <w:tc>
          <w:tcPr>
            <w:tcW w:w="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76"/>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860" w:type="dxa"/>
            <w:vAlign w:val="bottom"/>
            <w:tcBorders>
              <w:bottom w:val="single" w:sz="8" w:color="auto"/>
            </w:tcBorders>
            <w:shd w:val="clear" w:color="auto" w:fill="CFF0FC"/>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8,866</w:t>
            </w:r>
          </w:p>
        </w:tc>
        <w:tc>
          <w:tcPr>
            <w:tcW w:w="40" w:type="dxa"/>
            <w:vAlign w:val="bottom"/>
            <w:tcBorders>
              <w:bottom w:val="single" w:sz="8" w:color="auto"/>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8,998</w:t>
            </w:r>
          </w:p>
        </w:tc>
        <w:tc>
          <w:tcPr>
            <w:tcW w:w="1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8,615</w:t>
            </w:r>
          </w:p>
        </w:tc>
        <w:tc>
          <w:tcPr>
            <w:tcW w:w="0" w:type="dxa"/>
            <w:vAlign w:val="bottom"/>
          </w:tcPr>
          <w:p>
            <w:pPr>
              <w:spacing w:after="0"/>
              <w:rPr>
                <w:sz w:val="1"/>
                <w:szCs w:val="1"/>
                <w:color w:val="auto"/>
              </w:rPr>
            </w:pPr>
          </w:p>
        </w:tc>
      </w:tr>
      <w:tr>
        <w:trPr>
          <w:trHeight w:val="227"/>
        </w:trPr>
        <w:tc>
          <w:tcPr>
            <w:tcW w:w="6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gridSpan w:val="3"/>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860" w:type="dxa"/>
            <w:vAlign w:val="bottom"/>
            <w:shd w:val="clear" w:color="auto" w:fill="CFF0FC"/>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2,116</w:t>
            </w:r>
          </w:p>
        </w:tc>
        <w:tc>
          <w:tcPr>
            <w:tcW w:w="500" w:type="dxa"/>
            <w:vAlign w:val="bottom"/>
            <w:gridSpan w:val="3"/>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2,181</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1,950</w:t>
            </w:r>
          </w:p>
        </w:tc>
        <w:tc>
          <w:tcPr>
            <w:tcW w:w="0" w:type="dxa"/>
            <w:vAlign w:val="bottom"/>
          </w:tcPr>
          <w:p>
            <w:pPr>
              <w:spacing w:after="0"/>
              <w:rPr>
                <w:sz w:val="1"/>
                <w:szCs w:val="1"/>
                <w:color w:val="auto"/>
              </w:rPr>
            </w:pPr>
          </w:p>
        </w:tc>
      </w:tr>
      <w:tr>
        <w:trPr>
          <w:trHeight w:val="243"/>
        </w:trPr>
        <w:tc>
          <w:tcPr>
            <w:tcW w:w="662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Divested businesses </w:t>
            </w:r>
            <w:r>
              <w:rPr>
                <w:rFonts w:ascii="Times New Roman" w:cs="Times New Roman" w:eastAsia="Times New Roman" w:hAnsi="Times New Roman"/>
                <w:sz w:val="24"/>
                <w:szCs w:val="24"/>
                <w:color w:val="auto"/>
                <w:vertAlign w:val="superscript"/>
              </w:rPr>
              <w:t>(i)</w:t>
            </w:r>
          </w:p>
        </w:tc>
        <w:tc>
          <w:tcPr>
            <w:tcW w:w="8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43"/>
        </w:trPr>
        <w:tc>
          <w:tcPr>
            <w:tcW w:w="6620" w:type="dxa"/>
            <w:vAlign w:val="bottom"/>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Impairment </w:t>
            </w:r>
            <w:r>
              <w:rPr>
                <w:rFonts w:ascii="Times New Roman" w:cs="Times New Roman" w:eastAsia="Times New Roman" w:hAnsi="Times New Roman"/>
                <w:sz w:val="24"/>
                <w:szCs w:val="24"/>
                <w:color w:val="auto"/>
                <w:vertAlign w:val="superscript"/>
              </w:rPr>
              <w:t>(ii)</w:t>
            </w:r>
          </w:p>
        </w:tc>
        <w:tc>
          <w:tcPr>
            <w:tcW w:w="8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8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(312 )</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(369 )</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(461 )</w:t>
            </w: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200"/>
              <w:spacing w:after="0" w:line="247" w:lineRule="exact"/>
              <w:rPr>
                <w:sz w:val="20"/>
                <w:szCs w:val="20"/>
                <w:color w:val="auto"/>
              </w:rPr>
            </w:pPr>
            <w:r>
              <w:rPr>
                <w:rFonts w:ascii="Times New Roman" w:cs="Times New Roman" w:eastAsia="Times New Roman" w:hAnsi="Times New Roman"/>
                <w:sz w:val="18"/>
                <w:szCs w:val="18"/>
                <w:color w:val="auto"/>
              </w:rPr>
              <w:t xml:space="preserve">Restructuring costs </w:t>
            </w:r>
            <w:r>
              <w:rPr>
                <w:rFonts w:ascii="Times New Roman" w:cs="Times New Roman" w:eastAsia="Times New Roman" w:hAnsi="Times New Roman"/>
                <w:sz w:val="24"/>
                <w:szCs w:val="24"/>
                <w:color w:val="auto"/>
                <w:vertAlign w:val="superscript"/>
              </w:rPr>
              <w:t>(iii)</w:t>
            </w:r>
          </w:p>
        </w:tc>
        <w:tc>
          <w:tcPr>
            <w:tcW w:w="8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43"/>
        </w:trPr>
        <w:tc>
          <w:tcPr>
            <w:tcW w:w="662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Transaction and transformation, net </w:t>
            </w:r>
            <w:r>
              <w:rPr>
                <w:rFonts w:ascii="Times New Roman" w:cs="Times New Roman" w:eastAsia="Times New Roman" w:hAnsi="Times New Roman"/>
                <w:sz w:val="24"/>
                <w:szCs w:val="24"/>
                <w:color w:val="auto"/>
                <w:vertAlign w:val="superscript"/>
              </w:rPr>
              <w:t>(iv)</w:t>
            </w: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806</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0" w:type="dxa"/>
            <w:vAlign w:val="bottom"/>
          </w:tcPr>
          <w:p>
            <w:pPr>
              <w:spacing w:after="0"/>
              <w:rPr>
                <w:sz w:val="1"/>
                <w:szCs w:val="1"/>
                <w:color w:val="auto"/>
              </w:rPr>
            </w:pPr>
          </w:p>
        </w:tc>
      </w:tr>
      <w:tr>
        <w:trPr>
          <w:trHeight w:val="243"/>
        </w:trPr>
        <w:tc>
          <w:tcPr>
            <w:tcW w:w="6620" w:type="dxa"/>
            <w:vAlign w:val="bottom"/>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Provision for significant litigation </w:t>
            </w:r>
            <w:r>
              <w:rPr>
                <w:rFonts w:ascii="Times New Roman" w:cs="Times New Roman" w:eastAsia="Times New Roman" w:hAnsi="Times New Roman"/>
                <w:sz w:val="24"/>
                <w:szCs w:val="24"/>
                <w:color w:val="auto"/>
                <w:vertAlign w:val="superscript"/>
              </w:rPr>
              <w:t>(v)</w:t>
            </w:r>
          </w:p>
        </w:tc>
        <w:tc>
          <w:tcPr>
            <w:tcW w:w="86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43"/>
        </w:trPr>
        <w:tc>
          <w:tcPr>
            <w:tcW w:w="662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Unallocated, net </w:t>
            </w:r>
            <w:r>
              <w:rPr>
                <w:rFonts w:ascii="Times New Roman" w:cs="Times New Roman" w:eastAsia="Times New Roman" w:hAnsi="Times New Roman"/>
                <w:sz w:val="24"/>
                <w:szCs w:val="24"/>
                <w:color w:val="auto"/>
                <w:vertAlign w:val="superscript"/>
              </w:rPr>
              <w:t>(vi)</w:t>
            </w:r>
          </w:p>
        </w:tc>
        <w:tc>
          <w:tcPr>
            <w:tcW w:w="8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(366 )</w:t>
            </w:r>
          </w:p>
        </w:tc>
        <w:tc>
          <w:tcPr>
            <w:tcW w:w="1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(418 )</w:t>
            </w:r>
          </w:p>
        </w:tc>
        <w:tc>
          <w:tcPr>
            <w:tcW w:w="0" w:type="dxa"/>
            <w:vAlign w:val="bottom"/>
          </w:tcPr>
          <w:p>
            <w:pPr>
              <w:spacing w:after="0"/>
              <w:rPr>
                <w:sz w:val="1"/>
                <w:szCs w:val="1"/>
                <w:color w:val="auto"/>
              </w:rPr>
            </w:pPr>
          </w:p>
        </w:tc>
      </w:tr>
      <w:tr>
        <w:trPr>
          <w:trHeight w:val="236"/>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from operations</w:t>
            </w:r>
          </w:p>
        </w:tc>
        <w:tc>
          <w:tcPr>
            <w:tcW w:w="86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1,178</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2,202</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0" w:type="dxa"/>
            <w:vAlign w:val="bottom"/>
          </w:tcPr>
          <w:p>
            <w:pPr>
              <w:spacing w:after="0"/>
              <w:rPr>
                <w:sz w:val="1"/>
                <w:szCs w:val="1"/>
                <w:color w:val="auto"/>
              </w:rPr>
            </w:pPr>
          </w:p>
        </w:tc>
      </w:tr>
      <w:tr>
        <w:trPr>
          <w:trHeight w:val="243"/>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8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288</w:t>
            </w:r>
          </w:p>
        </w:tc>
        <w:tc>
          <w:tcPr>
            <w:tcW w:w="4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701</w:t>
            </w: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09"/>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FROM CONTINUING OPERATIONS BEFORE INCOME</w:t>
            </w:r>
          </w:p>
        </w:tc>
        <w:tc>
          <w:tcPr>
            <w:tcW w:w="860" w:type="dxa"/>
            <w:vAlign w:val="bottom"/>
            <w:vMerge w:val="restart"/>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1,258</w:t>
            </w:r>
          </w:p>
        </w:tc>
        <w:tc>
          <w:tcPr>
            <w:tcW w:w="500" w:type="dxa"/>
            <w:vAlign w:val="bottom"/>
            <w:gridSpan w:val="3"/>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2,692</w:t>
            </w:r>
          </w:p>
        </w:tc>
        <w:tc>
          <w:tcPr>
            <w:tcW w:w="180" w:type="dxa"/>
            <w:vAlign w:val="bottom"/>
          </w:tcPr>
          <w:p>
            <w:pPr>
              <w:spacing w:after="0"/>
              <w:rPr>
                <w:sz w:val="18"/>
                <w:szCs w:val="18"/>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07"/>
        </w:trPr>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TAXES</w:t>
            </w:r>
          </w:p>
        </w:tc>
        <w:tc>
          <w:tcPr>
            <w:tcW w:w="86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500" w:type="dxa"/>
            <w:vAlign w:val="bottom"/>
            <w:gridSpan w:val="3"/>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-2182495</wp:posOffset>
            </wp:positionV>
            <wp:extent cx="1104265" cy="17970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104265" cy="17970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-299085</wp:posOffset>
            </wp:positionV>
            <wp:extent cx="102870" cy="29972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02870" cy="299720"/>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-299085</wp:posOffset>
            </wp:positionV>
            <wp:extent cx="102870" cy="29972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02870" cy="2997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95059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27" w:lineRule="exact"/>
        <w:rPr>
          <w:sz w:val="20"/>
          <w:szCs w:val="20"/>
          <w:color w:val="auto"/>
        </w:rPr>
      </w:pPr>
    </w:p>
    <w:p>
      <w:pPr>
        <w:ind w:left="280" w:right="540" w:hanging="272"/>
        <w:spacing w:after="0" w:line="251" w:lineRule="auto"/>
        <w:tabs>
          <w:tab w:leader="none" w:pos="2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revenue and income from operations of certain Investment, Risk and Reinsurance businesses which were divested in 2021 and 2020 and not classified as discontinued operations.</w:t>
      </w:r>
    </w:p>
    <w:p>
      <w:pPr>
        <w:ind w:left="280" w:hanging="272"/>
        <w:spacing w:after="0"/>
        <w:tabs>
          <w:tab w:leader="none" w:pos="2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impairment related to the net assets of our Russian business that are held outside of our Russian entities (see Note 3 — Acquisitions and Divestitures for further information).</w:t>
      </w:r>
    </w:p>
    <w:p>
      <w:pPr>
        <w:spacing w:after="0" w:line="25" w:lineRule="exact"/>
        <w:rPr>
          <w:rFonts w:ascii="Times New Roman" w:cs="Times New Roman" w:eastAsia="Times New Roman" w:hAnsi="Times New Roman"/>
          <w:sz w:val="14"/>
          <w:szCs w:val="14"/>
          <w:color w:val="auto"/>
        </w:rPr>
      </w:pPr>
    </w:p>
    <w:p>
      <w:pPr>
        <w:ind w:left="280" w:right="200" w:hanging="272"/>
        <w:spacing w:after="0" w:line="242" w:lineRule="auto"/>
        <w:tabs>
          <w:tab w:leader="none" w:pos="2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6 — Restructuring Costs for the composition of costs for 2022 and 2021. In 2020, restructuring costs related to minor restructuring activities carried out by various business lines throughout the Company.</w:t>
      </w:r>
    </w:p>
    <w:p>
      <w:pPr>
        <w:spacing w:after="0" w:line="1" w:lineRule="exact"/>
        <w:rPr>
          <w:rFonts w:ascii="Times New Roman" w:cs="Times New Roman" w:eastAsia="Times New Roman" w:hAnsi="Times New Roman"/>
          <w:sz w:val="14"/>
          <w:szCs w:val="14"/>
          <w:color w:val="auto"/>
        </w:rPr>
      </w:pPr>
    </w:p>
    <w:p>
      <w:pPr>
        <w:jc w:val="both"/>
        <w:ind w:left="280" w:right="20" w:hanging="272"/>
        <w:spacing w:after="0" w:line="239" w:lineRule="auto"/>
        <w:tabs>
          <w:tab w:leader="none" w:pos="2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2022, in addition to legal fees and other transaction costs, includes primarily consulting fees related to the Transformation program (see Note 6 — Restructuring Costs). For the year ended December 31, 2021, includes the $1 billion income receipt related to the termination of, and fees related to, the then-proposed Aon combination; includes transaction costs related to the then-proposed Aon combination in 2020.</w:t>
      </w:r>
    </w:p>
    <w:p>
      <w:pPr>
        <w:spacing w:after="0" w:line="4"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recognition of settlement expense attributable to the Company's Merger-related securities litigation during the year ended December 31, 2020.</w:t>
      </w:r>
    </w:p>
    <w:p>
      <w:pPr>
        <w:spacing w:after="0" w:line="25" w:lineRule="exact"/>
        <w:rPr>
          <w:rFonts w:ascii="Times New Roman" w:cs="Times New Roman" w:eastAsia="Times New Roman" w:hAnsi="Times New Roman"/>
          <w:sz w:val="14"/>
          <w:szCs w:val="14"/>
          <w:color w:val="auto"/>
        </w:rPr>
      </w:pPr>
    </w:p>
    <w:p>
      <w:pPr>
        <w:ind w:left="280" w:right="100" w:hanging="272"/>
        <w:spacing w:after="0" w:line="242" w:lineRule="auto"/>
        <w:tabs>
          <w:tab w:leader="none" w:pos="2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certain costs, primarily related to corporate functions which are not directly related to the segments, and certain differences between budgeted expenses determined at the beginning of the year and actual expenses that we report for U.S. GAAP purposes.</w:t>
      </w:r>
    </w:p>
    <w:p>
      <w:pPr>
        <w:spacing w:after="0" w:line="1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The Company does not currently provide asset information by reportable segment as it does not routinely evaluate the total asset position by segment.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93" w:name="page94"/>
    <w:bookmarkEnd w:id="93"/>
    <w:p>
      <w:pPr>
        <w:ind w:right="220"/>
        <w:spacing w:after="0" w:line="281" w:lineRule="auto"/>
        <w:rPr>
          <w:sz w:val="20"/>
          <w:szCs w:val="20"/>
          <w:color w:val="auto"/>
        </w:rPr>
      </w:pPr>
      <w:r>
        <w:rPr>
          <w:rFonts w:ascii="Times New Roman" w:cs="Times New Roman" w:eastAsia="Times New Roman" w:hAnsi="Times New Roman"/>
          <w:sz w:val="18"/>
          <w:szCs w:val="18"/>
          <w:color w:val="auto"/>
        </w:rPr>
        <w:t>None of the Company’s customers individually represented more than 10% of its consolidated revenue for the years ended December 31, 2022, 2021 and 2020.</w:t>
      </w:r>
    </w:p>
    <w:p>
      <w:pPr>
        <w:spacing w:after="0" w:line="109"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Below are our revenue and tangible long-lived assets for Ireland, our country of domicile, countries with significant concentrations, and all other foreign countries as of and for the years ended as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4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 xml:space="preserve">Long-Lived Assets </w:t>
            </w:r>
            <w:r>
              <w:rPr>
                <w:rFonts w:ascii="Times New Roman" w:cs="Times New Roman" w:eastAsia="Times New Roman" w:hAnsi="Times New Roman"/>
                <w:sz w:val="19"/>
                <w:szCs w:val="19"/>
                <w:b w:val="1"/>
                <w:bCs w:val="1"/>
                <w:color w:val="auto"/>
                <w:vertAlign w:val="superscript"/>
              </w:rPr>
              <w:t>(i)</w:t>
            </w:r>
          </w:p>
        </w:tc>
      </w:tr>
      <w:tr>
        <w:trPr>
          <w:trHeight w:val="169"/>
        </w:trPr>
        <w:tc>
          <w:tcPr>
            <w:tcW w:w="5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4"/>
                <w:szCs w:val="14"/>
                <w:color w:val="auto"/>
              </w:rPr>
            </w:pPr>
          </w:p>
        </w:tc>
        <w:tc>
          <w:tcPr>
            <w:tcW w:w="1100" w:type="dxa"/>
            <w:vAlign w:val="bottom"/>
            <w:gridSpan w:val="2"/>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5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5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43"/>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4,760</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4,621</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4,359</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465</w:t>
            </w: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562</w:t>
            </w:r>
          </w:p>
        </w:tc>
      </w:tr>
      <w:tr>
        <w:trPr>
          <w:trHeight w:val="238"/>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220" w:type="dxa"/>
            <w:vAlign w:val="bottom"/>
          </w:tcPr>
          <w:p>
            <w:pPr>
              <w:spacing w:after="0"/>
              <w:rPr>
                <w:sz w:val="20"/>
                <w:szCs w:val="20"/>
                <w:color w:val="auto"/>
              </w:rPr>
            </w:pP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1,563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1,632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1,604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496</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605</w:t>
            </w:r>
          </w:p>
        </w:tc>
      </w:tr>
      <w:tr>
        <w:trPr>
          <w:trHeight w:val="243"/>
        </w:trPr>
        <w:tc>
          <w:tcPr>
            <w:tcW w:w="5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2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2,413</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2,548</w:t>
            </w: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2,495</w:t>
            </w: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332</w:t>
            </w:r>
          </w:p>
        </w:tc>
        <w:tc>
          <w:tcPr>
            <w:tcW w:w="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401</w:t>
            </w:r>
          </w:p>
        </w:tc>
      </w:tr>
      <w:tr>
        <w:trPr>
          <w:trHeight w:val="236"/>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Foreign Countries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8,736</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8,801</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8,458</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1,293</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1,568</w:t>
            </w:r>
          </w:p>
        </w:tc>
      </w:tr>
      <w:tr>
        <w:trPr>
          <w:trHeight w:val="276"/>
        </w:trPr>
        <w:tc>
          <w:tcPr>
            <w:tcW w:w="54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8,866</w:t>
            </w:r>
          </w:p>
        </w:tc>
        <w:tc>
          <w:tcPr>
            <w:tcW w:w="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8,998</w:t>
            </w:r>
          </w:p>
        </w:tc>
        <w:tc>
          <w:tcPr>
            <w:tcW w:w="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8,615</w:t>
            </w:r>
          </w:p>
        </w:tc>
        <w:tc>
          <w:tcPr>
            <w:tcW w:w="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1,304</w:t>
            </w:r>
          </w:p>
        </w:tc>
        <w:tc>
          <w:tcPr>
            <w:tcW w:w="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4183380</wp:posOffset>
            </wp:positionH>
            <wp:positionV relativeFrom="paragraph">
              <wp:posOffset>-350520</wp:posOffset>
            </wp:positionV>
            <wp:extent cx="51435" cy="17145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4937125</wp:posOffset>
            </wp:positionH>
            <wp:positionV relativeFrom="paragraph">
              <wp:posOffset>-350520</wp:posOffset>
            </wp:positionV>
            <wp:extent cx="51435" cy="1714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-24765</wp:posOffset>
            </wp:positionV>
            <wp:extent cx="5143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-7620</wp:posOffset>
            </wp:positionV>
            <wp:extent cx="5143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4937125</wp:posOffset>
            </wp:positionH>
            <wp:positionV relativeFrom="paragraph">
              <wp:posOffset>-24765</wp:posOffset>
            </wp:positionV>
            <wp:extent cx="5143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4937125</wp:posOffset>
            </wp:positionH>
            <wp:positionV relativeFrom="paragraph">
              <wp:posOffset>-7620</wp:posOffset>
            </wp:positionV>
            <wp:extent cx="5143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5655945</wp:posOffset>
            </wp:positionH>
            <wp:positionV relativeFrom="paragraph">
              <wp:posOffset>-24765</wp:posOffset>
            </wp:positionV>
            <wp:extent cx="4254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5655945</wp:posOffset>
            </wp:positionH>
            <wp:positionV relativeFrom="paragraph">
              <wp:posOffset>-7620</wp:posOffset>
            </wp:positionV>
            <wp:extent cx="4254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-24765</wp:posOffset>
            </wp:positionV>
            <wp:extent cx="4254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-7620</wp:posOffset>
            </wp:positionV>
            <wp:extent cx="4254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95059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Tangible long-lived assets consist of fixed assets and ROU assets.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Restructuring Costs</w:t>
      </w:r>
    </w:p>
    <w:p>
      <w:pPr>
        <w:spacing w:after="0" w:line="18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fourth quarter of 2021, the Company initiated a three-year ‘Transformation program’ designed to enhance operations, optimize technology and align its real estate footprint to its new ways of working. During the third quarter of 2022, we revised the expected costs and savings under the program and we now expect the program to generate annual cost savings in excess of $360 million by the end of 2024. The program is expected to incur cumulative costs of approximately $630 million and capital expenditures of approximately $270 million, for a total investment of $900 million. The main categories of charges will be in the following four areas:</w:t>
      </w:r>
    </w:p>
    <w:p>
      <w:pPr>
        <w:spacing w:after="0" w:line="74" w:lineRule="exact"/>
        <w:rPr>
          <w:sz w:val="20"/>
          <w:szCs w:val="20"/>
          <w:color w:val="auto"/>
        </w:rPr>
      </w:pPr>
    </w:p>
    <w:p>
      <w:pPr>
        <w:ind w:left="760" w:right="320" w:hanging="378"/>
        <w:spacing w:after="0" w:line="281" w:lineRule="auto"/>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rationalization — includes costs to align the real estate footprint to the new ways of working (hybrid work) and includes breakage fees and the impairment of ROU assets and other related leasehold assets.</w:t>
      </w:r>
    </w:p>
    <w:p>
      <w:pPr>
        <w:spacing w:after="0" w:line="54" w:lineRule="exact"/>
        <w:rPr>
          <w:rFonts w:ascii="Times New Roman" w:cs="Times New Roman" w:eastAsia="Times New Roman" w:hAnsi="Times New Roman"/>
          <w:sz w:val="18"/>
          <w:szCs w:val="18"/>
          <w:color w:val="auto"/>
        </w:rPr>
      </w:pPr>
    </w:p>
    <w:p>
      <w:pPr>
        <w:jc w:val="both"/>
        <w:ind w:left="760" w:hanging="378"/>
        <w:spacing w:after="0" w:line="265" w:lineRule="auto"/>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modernization — these charges are incurred in moving to common platforms and technologies, including migrating certain platforms and applications to the cloud. This category will include the impairment of technology assets that are duplicative or no longer revenue-producing, as well as costs for technology investments that do not qualify for capitalization.</w:t>
      </w:r>
    </w:p>
    <w:p>
      <w:pPr>
        <w:spacing w:after="0" w:line="69" w:lineRule="exact"/>
        <w:rPr>
          <w:rFonts w:ascii="Times New Roman" w:cs="Times New Roman" w:eastAsia="Times New Roman" w:hAnsi="Times New Roman"/>
          <w:sz w:val="18"/>
          <w:szCs w:val="18"/>
          <w:color w:val="auto"/>
        </w:rPr>
      </w:pPr>
    </w:p>
    <w:p>
      <w:pPr>
        <w:ind w:left="760" w:right="20" w:hanging="378"/>
        <w:spacing w:after="0" w:line="265" w:lineRule="auto"/>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 optimization — these costs will be incurred in the right-shoring strategy and automation of our operations, which will include optimizing resource deployment and appropriate colleague alignment. These costs will include process and organizational design costs, severance and separation-related costs and temporary retention costs.</w:t>
      </w:r>
    </w:p>
    <w:p>
      <w:pPr>
        <w:spacing w:after="0" w:line="69" w:lineRule="exact"/>
        <w:rPr>
          <w:rFonts w:ascii="Times New Roman" w:cs="Times New Roman" w:eastAsia="Times New Roman" w:hAnsi="Times New Roman"/>
          <w:sz w:val="18"/>
          <w:szCs w:val="18"/>
          <w:color w:val="auto"/>
        </w:rPr>
      </w:pPr>
    </w:p>
    <w:p>
      <w:pPr>
        <w:ind w:left="760" w:right="220" w:hanging="378"/>
        <w:spacing w:after="0" w:line="281" w:lineRule="auto"/>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 other costs not included above including fees for professional services, other contract terminations not related to the above categories and supplier migration costs.</w:t>
      </w:r>
    </w:p>
    <w:p>
      <w:pPr>
        <w:spacing w:after="0" w:line="55"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8"/>
          <w:szCs w:val="18"/>
          <w:color w:val="auto"/>
        </w:rPr>
        <w:t>Certain costs under the Transformation program are accounted for under ASC 420 and are included as restructuring costs in the consolidated statements of comprehensive income. Other costs incurred under the Transformation program are included in transaction and transformation, net and were $136 million for the year ended December 31, 2022; there were no such costs incurred for the year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94" w:name="page95"/>
    <w:bookmarkEnd w:id="94"/>
    <w:p>
      <w:pPr>
        <w:ind w:right="220"/>
        <w:spacing w:after="0" w:line="281" w:lineRule="auto"/>
        <w:rPr>
          <w:sz w:val="20"/>
          <w:szCs w:val="20"/>
          <w:color w:val="auto"/>
        </w:rPr>
      </w:pPr>
      <w:r>
        <w:rPr>
          <w:rFonts w:ascii="Times New Roman" w:cs="Times New Roman" w:eastAsia="Times New Roman" w:hAnsi="Times New Roman"/>
          <w:sz w:val="18"/>
          <w:szCs w:val="18"/>
          <w:color w:val="auto"/>
        </w:rPr>
        <w:t>ended December 31, 2021. An analysis of total restructuring costs incurred under the Transformation program by category and by segment and corporate functions, from commencement to December 31, 2022,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20" w:type="dxa"/>
            <w:vAlign w:val="bottom"/>
          </w:tcPr>
          <w:p>
            <w:pPr>
              <w:spacing w:after="0"/>
              <w:rPr>
                <w:sz w:val="16"/>
                <w:szCs w:val="16"/>
                <w:color w:val="auto"/>
              </w:rPr>
            </w:pPr>
          </w:p>
        </w:tc>
        <w:tc>
          <w:tcPr>
            <w:tcW w:w="8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HWC</w:t>
            </w:r>
          </w:p>
        </w:tc>
        <w:tc>
          <w:tcPr>
            <w:tcW w:w="4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R&amp;B</w:t>
            </w:r>
          </w:p>
        </w:tc>
        <w:tc>
          <w:tcPr>
            <w:tcW w:w="4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r>
      <w:tr>
        <w:trPr>
          <w:trHeight w:val="238"/>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Real estate rationalization</w:t>
            </w: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r>
      <w:tr>
        <w:trPr>
          <w:trHeight w:val="247"/>
        </w:trPr>
        <w:tc>
          <w:tcPr>
            <w:tcW w:w="5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Technology modernization</w:t>
            </w:r>
          </w:p>
        </w:tc>
        <w:tc>
          <w:tcPr>
            <w:tcW w:w="88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r>
      <w:tr>
        <w:trPr>
          <w:trHeight w:val="238"/>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Process optimization</w:t>
            </w:r>
          </w:p>
        </w:tc>
        <w:tc>
          <w:tcPr>
            <w:tcW w:w="88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r>
      <w:tr>
        <w:trPr>
          <w:trHeight w:val="24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45"/>
        </w:trPr>
        <w:tc>
          <w:tcPr>
            <w:tcW w:w="5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Real estate rationalization</w:t>
            </w:r>
          </w:p>
        </w:tc>
        <w:tc>
          <w:tcPr>
            <w:tcW w:w="88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79</w:t>
            </w:r>
          </w:p>
        </w:tc>
      </w:tr>
      <w:tr>
        <w:trPr>
          <w:trHeight w:val="238"/>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Technology modernization</w:t>
            </w:r>
          </w:p>
        </w:tc>
        <w:tc>
          <w:tcPr>
            <w:tcW w:w="88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r>
      <w:tr>
        <w:trPr>
          <w:trHeight w:val="247"/>
        </w:trPr>
        <w:tc>
          <w:tcPr>
            <w:tcW w:w="5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Process optimization</w:t>
            </w:r>
          </w:p>
        </w:tc>
        <w:tc>
          <w:tcPr>
            <w:tcW w:w="88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r>
      <w:tr>
        <w:trPr>
          <w:trHeight w:val="238"/>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r>
      <w:tr>
        <w:trPr>
          <w:trHeight w:val="238"/>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Real estate rationalization</w:t>
            </w:r>
          </w:p>
        </w:tc>
        <w:tc>
          <w:tcPr>
            <w:tcW w:w="88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98</w:t>
            </w:r>
          </w:p>
        </w:tc>
      </w:tr>
      <w:tr>
        <w:trPr>
          <w:trHeight w:val="247"/>
        </w:trPr>
        <w:tc>
          <w:tcPr>
            <w:tcW w:w="5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Technology modernization</w:t>
            </w:r>
          </w:p>
        </w:tc>
        <w:tc>
          <w:tcPr>
            <w:tcW w:w="88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w:t>
            </w:r>
          </w:p>
        </w:tc>
      </w:tr>
      <w:tr>
        <w:trPr>
          <w:trHeight w:val="238"/>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Process optimization</w:t>
            </w:r>
          </w:p>
        </w:tc>
        <w:tc>
          <w:tcPr>
            <w:tcW w:w="88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5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r>
      <w:tr>
        <w:trPr>
          <w:trHeight w:val="23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116</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125</w:t>
            </w:r>
          </w:p>
        </w:tc>
      </w:tr>
      <w:tr>
        <w:trPr>
          <w:trHeight w:val="20"/>
        </w:trPr>
        <w:tc>
          <w:tcPr>
            <w:tcW w:w="57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4457700</wp:posOffset>
            </wp:positionH>
            <wp:positionV relativeFrom="paragraph">
              <wp:posOffset>-187960</wp:posOffset>
            </wp:positionV>
            <wp:extent cx="93980" cy="18859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-187960</wp:posOffset>
            </wp:positionV>
            <wp:extent cx="85725" cy="18859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-187960</wp:posOffset>
            </wp:positionV>
            <wp:extent cx="85725" cy="18859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rollforward of the liability associated with cash-based charges related to restructuring costs associated with the Transformation program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20" w:type="dxa"/>
            <w:vAlign w:val="bottom"/>
          </w:tcPr>
          <w:p>
            <w:pPr>
              <w:spacing w:after="0"/>
              <w:rPr>
                <w:sz w:val="13"/>
                <w:szCs w:val="13"/>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Process</w:t>
            </w:r>
          </w:p>
        </w:tc>
        <w:tc>
          <w:tcPr>
            <w:tcW w:w="120" w:type="dxa"/>
            <w:vAlign w:val="bottom"/>
          </w:tcPr>
          <w:p>
            <w:pPr>
              <w:spacing w:after="0"/>
              <w:rPr>
                <w:sz w:val="13"/>
                <w:szCs w:val="13"/>
                <w:color w:val="auto"/>
              </w:rPr>
            </w:pPr>
          </w:p>
        </w:tc>
        <w:tc>
          <w:tcPr>
            <w:tcW w:w="90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660" w:type="dxa"/>
            <w:vAlign w:val="bottom"/>
          </w:tcPr>
          <w:p>
            <w:pPr>
              <w:spacing w:after="0"/>
              <w:rPr>
                <w:sz w:val="16"/>
                <w:szCs w:val="16"/>
                <w:color w:val="auto"/>
              </w:rPr>
            </w:pPr>
          </w:p>
        </w:tc>
        <w:tc>
          <w:tcPr>
            <w:tcW w:w="1180" w:type="dxa"/>
            <w:vAlign w:val="bottom"/>
            <w:tcBorders>
              <w:bottom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rationalization</w:t>
            </w:r>
          </w:p>
        </w:tc>
        <w:tc>
          <w:tcPr>
            <w:tcW w:w="12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modernization</w:t>
            </w: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optimization</w:t>
            </w:r>
          </w:p>
        </w:tc>
        <w:tc>
          <w:tcPr>
            <w:tcW w:w="12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October 1, 2021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 incurred</w:t>
            </w:r>
          </w:p>
        </w:tc>
        <w:tc>
          <w:tcPr>
            <w:tcW w:w="14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4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7"/>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Charges incurred</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8"/>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76"/>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3712210</wp:posOffset>
            </wp:positionH>
            <wp:positionV relativeFrom="paragraph">
              <wp:posOffset>-658495</wp:posOffset>
            </wp:positionV>
            <wp:extent cx="76835" cy="16256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-658495</wp:posOffset>
            </wp:positionV>
            <wp:extent cx="76835" cy="16256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-658495</wp:posOffset>
            </wp:positionV>
            <wp:extent cx="76835" cy="16256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-658495</wp:posOffset>
            </wp:positionV>
            <wp:extent cx="76835" cy="16256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-24765</wp:posOffset>
            </wp:positionV>
            <wp:extent cx="7683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-7620</wp:posOffset>
            </wp:positionV>
            <wp:extent cx="7683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-24765</wp:posOffset>
            </wp:positionV>
            <wp:extent cx="7683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-7620</wp:posOffset>
            </wp:positionV>
            <wp:extent cx="7683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-24765</wp:posOffset>
            </wp:positionV>
            <wp:extent cx="7683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-7620</wp:posOffset>
            </wp:positionV>
            <wp:extent cx="7683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-24765</wp:posOffset>
            </wp:positionV>
            <wp:extent cx="7683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-7620</wp:posOffset>
            </wp:positionV>
            <wp:extent cx="7683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Income Taxes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analysis of income from continuing operations before income taxes by taxing jurisdiction is shown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2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69"/>
        </w:trPr>
        <w:tc>
          <w:tcPr>
            <w:tcW w:w="32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6"/>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334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673</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8"/>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516</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w:t>
            </w:r>
          </w:p>
        </w:tc>
      </w:tr>
      <w:tr>
        <w:trPr>
          <w:trHeight w:val="247"/>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U.K.</w:t>
            </w:r>
          </w:p>
        </w:tc>
        <w:tc>
          <w:tcPr>
            <w:tcW w:w="33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142</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552</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184</w:t>
            </w:r>
          </w:p>
        </w:tc>
      </w:tr>
      <w:tr>
        <w:trPr>
          <w:trHeight w:val="238"/>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33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882</w:t>
            </w: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951</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929</w:t>
            </w:r>
          </w:p>
        </w:tc>
      </w:tr>
      <w:tr>
        <w:trPr>
          <w:trHeight w:val="276"/>
        </w:trPr>
        <w:tc>
          <w:tcPr>
            <w:tcW w:w="3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34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1,258</w:t>
            </w:r>
          </w:p>
        </w:tc>
        <w:tc>
          <w:tcPr>
            <w:tcW w:w="20" w:type="dxa"/>
            <w:vAlign w:val="bottom"/>
            <w:tcBorders>
              <w:bottom w:val="single" w:sz="8" w:color="auto"/>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2,692</w:t>
            </w:r>
          </w:p>
        </w:tc>
        <w:tc>
          <w:tcPr>
            <w:tcW w:w="1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1,011</w:t>
            </w:r>
          </w:p>
        </w:tc>
      </w:tr>
      <w:tr>
        <w:trPr>
          <w:trHeight w:val="632"/>
        </w:trPr>
        <w:tc>
          <w:tcPr>
            <w:tcW w:w="3280" w:type="dxa"/>
            <w:vAlign w:val="bottom"/>
          </w:tcPr>
          <w:p>
            <w:pPr>
              <w:spacing w:after="0"/>
              <w:rPr>
                <w:sz w:val="24"/>
                <w:szCs w:val="24"/>
                <w:color w:val="auto"/>
              </w:rPr>
            </w:pPr>
          </w:p>
        </w:tc>
        <w:tc>
          <w:tcPr>
            <w:tcW w:w="334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93</w:t>
            </w: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3280" w:type="dxa"/>
            <w:vAlign w:val="bottom"/>
            <w:tcBorders>
              <w:bottom w:val="single" w:sz="8" w:color="9A9A9A"/>
            </w:tcBorders>
          </w:tcPr>
          <w:p>
            <w:pPr>
              <w:spacing w:after="0"/>
              <w:rPr>
                <w:sz w:val="9"/>
                <w:szCs w:val="9"/>
                <w:color w:val="auto"/>
              </w:rPr>
            </w:pPr>
          </w:p>
        </w:tc>
        <w:tc>
          <w:tcPr>
            <w:tcW w:w="33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-521970</wp:posOffset>
            </wp:positionV>
            <wp:extent cx="10287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-504825</wp:posOffset>
            </wp:positionV>
            <wp:extent cx="10287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-521970</wp:posOffset>
            </wp:positionV>
            <wp:extent cx="10287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-504825</wp:posOffset>
            </wp:positionV>
            <wp:extent cx="10287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color w:val="auto"/>
        </w:rPr>
        <w:t>The components of the provision for income taxes from continuing operations include: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9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tax expense:</w:t>
            </w:r>
          </w:p>
        </w:tc>
        <w:tc>
          <w:tcPr>
            <w:tcW w:w="9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federal taxes</w:t>
            </w: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state and local taxes</w:t>
            </w:r>
          </w:p>
        </w:tc>
        <w:tc>
          <w:tcPr>
            <w:tcW w:w="90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U.K. corporation tax</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43"/>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jurisdictions</w:t>
            </w:r>
          </w:p>
        </w:tc>
        <w:tc>
          <w:tcPr>
            <w:tcW w:w="90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(303 )</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(134 )</w:t>
            </w:r>
          </w:p>
        </w:tc>
      </w:tr>
      <w:tr>
        <w:trPr>
          <w:trHeight w:val="23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tax expense</w:t>
            </w:r>
          </w:p>
        </w:tc>
        <w:tc>
          <w:tcPr>
            <w:tcW w:w="9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(440 )</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(150 )</w:t>
            </w:r>
          </w:p>
        </w:tc>
      </w:tr>
      <w:tr>
        <w:trPr>
          <w:trHeight w:val="240"/>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(expense)/benefit:</w:t>
            </w:r>
          </w:p>
        </w:tc>
        <w:tc>
          <w:tcPr>
            <w:tcW w:w="9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federal taxes</w:t>
            </w:r>
          </w:p>
        </w:tc>
        <w:tc>
          <w:tcPr>
            <w:tcW w:w="90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state and local taxes</w:t>
            </w:r>
          </w:p>
        </w:tc>
        <w:tc>
          <w:tcPr>
            <w:tcW w:w="90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U.K. corporation tax</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43"/>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jurisdictions</w:t>
            </w:r>
          </w:p>
        </w:tc>
        <w:tc>
          <w:tcPr>
            <w:tcW w:w="90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w:t>
            </w:r>
          </w:p>
        </w:tc>
      </w:tr>
      <w:tr>
        <w:trPr>
          <w:trHeight w:val="23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(expense)/benefit</w:t>
            </w:r>
          </w:p>
        </w:tc>
        <w:tc>
          <w:tcPr>
            <w:tcW w:w="9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76"/>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900" w:type="dxa"/>
            <w:vAlign w:val="bottom"/>
            <w:tcBorders>
              <w:bottom w:val="single" w:sz="8" w:color="auto"/>
            </w:tcBorders>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(536 )</w:t>
            </w:r>
          </w:p>
        </w:tc>
        <w:tc>
          <w:tcPr>
            <w:tcW w:w="1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5116830</wp:posOffset>
            </wp:positionH>
            <wp:positionV relativeFrom="paragraph">
              <wp:posOffset>-1292225</wp:posOffset>
            </wp:positionV>
            <wp:extent cx="102870" cy="17145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-1292225</wp:posOffset>
            </wp:positionV>
            <wp:extent cx="102870" cy="17145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-350520</wp:posOffset>
            </wp:positionV>
            <wp:extent cx="102870" cy="17145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-350520</wp:posOffset>
            </wp:positionV>
            <wp:extent cx="102870" cy="17145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-24765</wp:posOffset>
            </wp:positionV>
            <wp:extent cx="10287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-7620</wp:posOffset>
            </wp:positionV>
            <wp:extent cx="10287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-24765</wp:posOffset>
            </wp:positionV>
            <wp:extent cx="10287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-7620</wp:posOffset>
            </wp:positionV>
            <wp:extent cx="10287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Effective tax rate reconciliation</w:t>
      </w:r>
    </w:p>
    <w:p>
      <w:pPr>
        <w:spacing w:after="0" w:line="175" w:lineRule="exact"/>
        <w:rPr>
          <w:sz w:val="20"/>
          <w:szCs w:val="20"/>
          <w:color w:val="auto"/>
        </w:rPr>
      </w:pPr>
    </w:p>
    <w:p>
      <w:pPr>
        <w:jc w:val="both"/>
        <w:ind w:right="420"/>
        <w:spacing w:after="0" w:line="265" w:lineRule="auto"/>
        <w:rPr>
          <w:sz w:val="20"/>
          <w:szCs w:val="20"/>
          <w:color w:val="auto"/>
        </w:rPr>
      </w:pPr>
      <w:r>
        <w:rPr>
          <w:rFonts w:ascii="Times New Roman" w:cs="Times New Roman" w:eastAsia="Times New Roman" w:hAnsi="Times New Roman"/>
          <w:sz w:val="18"/>
          <w:szCs w:val="18"/>
          <w:color w:val="auto"/>
        </w:rPr>
        <w:t>The reported provision for income taxes differs from the amounts that would have resulted had the reported income from continuing operations before income taxes been taxed at the U.S. federal statutory rate. The principal reasons for the differences between the amounts provided and those that would have resulted from the application of the U.S. federal statutory tax rate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54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4"/>
                <w:szCs w:val="14"/>
                <w:color w:val="auto"/>
              </w:rPr>
            </w:pPr>
          </w:p>
        </w:tc>
      </w:tr>
      <w:tr>
        <w:trPr>
          <w:trHeight w:val="204"/>
        </w:trPr>
        <w:tc>
          <w:tcPr>
            <w:tcW w:w="654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8"/>
                <w:szCs w:val="18"/>
                <w:color w:val="auto"/>
              </w:rPr>
              <w:t>INCOME FROM CONTINUING OPERATIONS BEFORE</w:t>
            </w:r>
          </w:p>
        </w:tc>
        <w:tc>
          <w:tcPr>
            <w:tcW w:w="9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48"/>
        </w:trPr>
        <w:tc>
          <w:tcPr>
            <w:tcW w:w="65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INCOME TAXES</w:t>
            </w:r>
          </w:p>
        </w:tc>
        <w:tc>
          <w:tcPr>
            <w:tcW w:w="90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1,258</w:t>
            </w:r>
          </w:p>
        </w:tc>
        <w:tc>
          <w:tcPr>
            <w:tcW w:w="5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2,692</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1,011</w:t>
            </w:r>
          </w:p>
        </w:tc>
        <w:tc>
          <w:tcPr>
            <w:tcW w:w="60" w:type="dxa"/>
            <w:vAlign w:val="bottom"/>
          </w:tcPr>
          <w:p>
            <w:pPr>
              <w:spacing w:after="0"/>
              <w:rPr>
                <w:sz w:val="21"/>
                <w:szCs w:val="21"/>
                <w:color w:val="auto"/>
              </w:rPr>
            </w:pPr>
          </w:p>
        </w:tc>
      </w:tr>
      <w:tr>
        <w:trPr>
          <w:trHeight w:val="238"/>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900" w:type="dxa"/>
            <w:vAlign w:val="bottom"/>
          </w:tcPr>
          <w:p>
            <w:pPr>
              <w:spacing w:after="0"/>
              <w:rPr>
                <w:sz w:val="20"/>
                <w:szCs w:val="20"/>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21 %</w:t>
            </w:r>
          </w:p>
        </w:tc>
        <w:tc>
          <w:tcPr>
            <w:tcW w:w="30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21 %</w:t>
            </w:r>
          </w:p>
        </w:tc>
        <w:tc>
          <w:tcPr>
            <w:tcW w:w="3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47"/>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 at U.S. federal tax rate</w:t>
            </w:r>
          </w:p>
        </w:tc>
        <w:tc>
          <w:tcPr>
            <w:tcW w:w="9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60" w:type="dxa"/>
            <w:vAlign w:val="bottom"/>
          </w:tcPr>
          <w:p>
            <w:pPr>
              <w:spacing w:after="0"/>
              <w:rPr>
                <w:sz w:val="21"/>
                <w:szCs w:val="21"/>
                <w:color w:val="auto"/>
              </w:rPr>
            </w:pPr>
          </w:p>
        </w:tc>
      </w:tr>
      <w:tr>
        <w:trPr>
          <w:trHeight w:val="238"/>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derive effective tax rate:</w:t>
            </w: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Non-deductible expenses and dividends</w:t>
            </w:r>
          </w:p>
        </w:tc>
        <w:tc>
          <w:tcPr>
            <w:tcW w:w="9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60" w:type="dxa"/>
            <w:vAlign w:val="bottom"/>
          </w:tcPr>
          <w:p>
            <w:pPr>
              <w:spacing w:after="0"/>
              <w:rPr>
                <w:sz w:val="21"/>
                <w:szCs w:val="21"/>
                <w:color w:val="auto"/>
              </w:rPr>
            </w:pPr>
          </w:p>
        </w:tc>
      </w:tr>
      <w:tr>
        <w:trPr>
          <w:trHeight w:val="238"/>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adjustments on acquisition costs</w:t>
            </w:r>
          </w:p>
        </w:tc>
        <w:tc>
          <w:tcPr>
            <w:tcW w:w="9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60" w:type="dxa"/>
            <w:vAlign w:val="bottom"/>
          </w:tcPr>
          <w:p>
            <w:pPr>
              <w:spacing w:after="0"/>
              <w:rPr>
                <w:sz w:val="20"/>
                <w:szCs w:val="20"/>
                <w:color w:val="auto"/>
              </w:rPr>
            </w:pPr>
          </w:p>
        </w:tc>
      </w:tr>
      <w:tr>
        <w:trPr>
          <w:trHeight w:val="247"/>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Impact of change in rate on deferred tax balances</w:t>
            </w:r>
          </w:p>
        </w:tc>
        <w:tc>
          <w:tcPr>
            <w:tcW w:w="9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60" w:type="dxa"/>
            <w:vAlign w:val="bottom"/>
          </w:tcPr>
          <w:p>
            <w:pPr>
              <w:spacing w:after="0"/>
              <w:rPr>
                <w:sz w:val="21"/>
                <w:szCs w:val="21"/>
                <w:color w:val="auto"/>
              </w:rPr>
            </w:pPr>
          </w:p>
        </w:tc>
      </w:tr>
      <w:tr>
        <w:trPr>
          <w:trHeight w:val="238"/>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exchange and other differences</w:t>
            </w:r>
          </w:p>
        </w:tc>
        <w:tc>
          <w:tcPr>
            <w:tcW w:w="900" w:type="dxa"/>
            <w:vAlign w:val="bottom"/>
          </w:tcPr>
          <w:p>
            <w:pPr>
              <w:spacing w:after="0"/>
              <w:rPr>
                <w:sz w:val="20"/>
                <w:szCs w:val="20"/>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60" w:type="dxa"/>
            <w:vAlign w:val="bottom"/>
          </w:tcPr>
          <w:p>
            <w:pPr>
              <w:spacing w:after="0"/>
              <w:rPr>
                <w:sz w:val="20"/>
                <w:szCs w:val="20"/>
                <w:color w:val="auto"/>
              </w:rPr>
            </w:pPr>
          </w:p>
        </w:tc>
      </w:tr>
      <w:tr>
        <w:trPr>
          <w:trHeight w:val="247"/>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90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60" w:type="dxa"/>
            <w:vAlign w:val="bottom"/>
          </w:tcPr>
          <w:p>
            <w:pPr>
              <w:spacing w:after="0"/>
              <w:rPr>
                <w:sz w:val="21"/>
                <w:szCs w:val="21"/>
                <w:color w:val="auto"/>
              </w:rPr>
            </w:pPr>
          </w:p>
        </w:tc>
      </w:tr>
      <w:tr>
        <w:trPr>
          <w:trHeight w:val="238"/>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tax effect on intra-group items</w:t>
            </w:r>
          </w:p>
        </w:tc>
        <w:tc>
          <w:tcPr>
            <w:tcW w:w="900" w:type="dxa"/>
            <w:vAlign w:val="bottom"/>
          </w:tcPr>
          <w:p>
            <w:pPr>
              <w:spacing w:after="0"/>
              <w:rPr>
                <w:sz w:val="20"/>
                <w:szCs w:val="20"/>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90</w:t>
            </w:r>
          </w:p>
        </w:tc>
        <w:tc>
          <w:tcPr>
            <w:tcW w:w="60" w:type="dxa"/>
            <w:vAlign w:val="bottom"/>
          </w:tcPr>
          <w:p>
            <w:pPr>
              <w:spacing w:after="0"/>
              <w:rPr>
                <w:sz w:val="20"/>
                <w:szCs w:val="20"/>
                <w:color w:val="auto"/>
              </w:rPr>
            </w:pPr>
          </w:p>
        </w:tc>
      </w:tr>
      <w:tr>
        <w:trPr>
          <w:trHeight w:val="247"/>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tax effect on disposal of operations</w:t>
            </w:r>
          </w:p>
        </w:tc>
        <w:tc>
          <w:tcPr>
            <w:tcW w:w="90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21"/>
                <w:szCs w:val="21"/>
                <w:color w:val="auto"/>
              </w:rPr>
            </w:pPr>
          </w:p>
        </w:tc>
      </w:tr>
      <w:tr>
        <w:trPr>
          <w:trHeight w:val="238"/>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differentials of non-U.S. jurisdictions</w:t>
            </w:r>
          </w:p>
        </w:tc>
        <w:tc>
          <w:tcPr>
            <w:tcW w:w="900" w:type="dxa"/>
            <w:vAlign w:val="bottom"/>
          </w:tcPr>
          <w:p>
            <w:pPr>
              <w:spacing w:after="0"/>
              <w:rPr>
                <w:sz w:val="20"/>
                <w:szCs w:val="20"/>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60" w:type="dxa"/>
            <w:vAlign w:val="bottom"/>
          </w:tcPr>
          <w:p>
            <w:pPr>
              <w:spacing w:after="0"/>
              <w:rPr>
                <w:sz w:val="20"/>
                <w:szCs w:val="20"/>
                <w:color w:val="auto"/>
              </w:rPr>
            </w:pPr>
          </w:p>
        </w:tc>
      </w:tr>
      <w:tr>
        <w:trPr>
          <w:trHeight w:val="247"/>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Impact of U.S. state and local taxes</w:t>
            </w:r>
          </w:p>
        </w:tc>
        <w:tc>
          <w:tcPr>
            <w:tcW w:w="9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1"/>
                <w:szCs w:val="21"/>
                <w:color w:val="auto"/>
              </w:rPr>
            </w:pPr>
          </w:p>
        </w:tc>
      </w:tr>
      <w:tr>
        <w:trPr>
          <w:trHeight w:val="238"/>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Intangible Low-Taxed Income (GILTI)</w:t>
            </w:r>
          </w:p>
        </w:tc>
        <w:tc>
          <w:tcPr>
            <w:tcW w:w="9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60" w:type="dxa"/>
            <w:vAlign w:val="bottom"/>
          </w:tcPr>
          <w:p>
            <w:pPr>
              <w:spacing w:after="0"/>
              <w:rPr>
                <w:sz w:val="20"/>
                <w:szCs w:val="20"/>
                <w:color w:val="auto"/>
              </w:rPr>
            </w:pPr>
          </w:p>
        </w:tc>
      </w:tr>
      <w:tr>
        <w:trPr>
          <w:trHeight w:val="247"/>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Base Erosion Anti-Abuse Tax (BEAT)</w:t>
            </w:r>
          </w:p>
        </w:tc>
        <w:tc>
          <w:tcPr>
            <w:tcW w:w="90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60" w:type="dxa"/>
            <w:vAlign w:val="bottom"/>
          </w:tcPr>
          <w:p>
            <w:pPr>
              <w:spacing w:after="0"/>
              <w:rPr>
                <w:sz w:val="21"/>
                <w:szCs w:val="21"/>
                <w:color w:val="auto"/>
              </w:rPr>
            </w:pPr>
          </w:p>
        </w:tc>
      </w:tr>
      <w:tr>
        <w:trPr>
          <w:trHeight w:val="238"/>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on unremitted earnings</w:t>
            </w:r>
          </w:p>
        </w:tc>
        <w:tc>
          <w:tcPr>
            <w:tcW w:w="9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43"/>
        </w:trPr>
        <w:tc>
          <w:tcPr>
            <w:tcW w:w="6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90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60" w:type="dxa"/>
            <w:vAlign w:val="bottom"/>
          </w:tcPr>
          <w:p>
            <w:pPr>
              <w:spacing w:after="0"/>
              <w:rPr>
                <w:sz w:val="21"/>
                <w:szCs w:val="21"/>
                <w:color w:val="auto"/>
              </w:rPr>
            </w:pPr>
          </w:p>
        </w:tc>
      </w:tr>
      <w:tr>
        <w:trPr>
          <w:trHeight w:val="236"/>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0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(536 )</w:t>
            </w:r>
          </w:p>
        </w:tc>
        <w:tc>
          <w:tcPr>
            <w:tcW w:w="1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60" w:type="dxa"/>
            <w:vAlign w:val="bottom"/>
          </w:tcPr>
          <w:p>
            <w:pPr>
              <w:spacing w:after="0"/>
              <w:rPr>
                <w:sz w:val="20"/>
                <w:szCs w:val="20"/>
                <w:color w:val="auto"/>
              </w:rPr>
            </w:pPr>
          </w:p>
        </w:tc>
      </w:tr>
      <w:tr>
        <w:trPr>
          <w:trHeight w:val="20"/>
        </w:trPr>
        <w:tc>
          <w:tcPr>
            <w:tcW w:w="65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5099685</wp:posOffset>
            </wp:positionH>
            <wp:positionV relativeFrom="paragraph">
              <wp:posOffset>-187960</wp:posOffset>
            </wp:positionV>
            <wp:extent cx="102870" cy="18859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-187960</wp:posOffset>
            </wp:positionV>
            <wp:extent cx="102870" cy="18859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02870" cy="188595"/>
                    </a:xfrm>
                    <a:prstGeom prst="rect">
                      <a:avLst/>
                    </a:prstGeom>
                    <a:noFill/>
                  </pic:spPr>
                </pic:pic>
              </a:graphicData>
            </a:graphic>
          </wp:anchor>
        </w:drawing>
      </w:r>
    </w:p>
    <w:p>
      <w:pPr>
        <w:spacing w:after="0" w:line="12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The current year effective tax rate includes a $34 million tax benefit associated with amending the Company’s U.S. federal income tax returns for tax years 2019 and 2020, primarily related to a reduction in Base Erosion and Anti Abuse Tax (‘BEAT’), and also includes a $22 million income tax benefit associated with foreign exchange remeasurement on income tax account balances. The effective tax rate for the year ended December 31, 2021 includes a $250 million estimated tax expense related to the income receipt of the termination payment as well as a $40 million tax expense related to the remeasurement of deferred tax assets and liabilities associated with an increase in the U.K. tax rate from 19% to 25%. Included in the BEAT expense for 2020 is a $29 million true-up related to the 2019 tax year as a result of certain elections of the CARES Act.</w:t>
      </w:r>
    </w:p>
    <w:p>
      <w:pPr>
        <w:spacing w:after="0" w:line="130"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Willis Towers Watson plc is a non-trading holding company tax resident in Ireland where it is taxed at the statutory rate of 25%. The provisions for income tax on operations have been reconciled above to the U.S. federal statutory tax rate of 21% due to significant operations in the U.S.</w:t>
      </w:r>
    </w:p>
    <w:p>
      <w:pPr>
        <w:spacing w:after="0" w:line="16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64" w:right="2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income taxes</w:t>
      </w:r>
    </w:p>
    <w:p>
      <w:pPr>
        <w:spacing w:after="0" w:line="175"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Deferred income tax assets and liabilities reflect the effect of temporary differences between the assets and liabilities recognized for financial reporting purposes and the amounts recognized for income tax purposes. We recognize deferred tax assets if it is more likely than not that a benefit will be realized.</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income tax assets and liabilities included in the consolidated balance sheets at December 31, 2022 and 2021 are comprised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Borders>
              <w:bottom w:val="single" w:sz="8" w:color="auto"/>
            </w:tcBorders>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10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0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not currently deductible</w:t>
            </w:r>
          </w:p>
        </w:tc>
        <w:tc>
          <w:tcPr>
            <w:tcW w:w="104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w:t>
            </w:r>
          </w:p>
        </w:tc>
        <w:tc>
          <w:tcPr>
            <w:tcW w:w="6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w:t>
            </w: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carryforwards</w:t>
            </w:r>
          </w:p>
        </w:tc>
        <w:tc>
          <w:tcPr>
            <w:tcW w:w="104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174</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91</w:t>
            </w: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losses</w:t>
            </w:r>
          </w:p>
        </w:tc>
        <w:tc>
          <w:tcPr>
            <w:tcW w:w="1040" w:type="dxa"/>
            <w:vAlign w:val="bottom"/>
          </w:tcPr>
          <w:p>
            <w:pPr>
              <w:spacing w:after="0"/>
              <w:rPr>
                <w:sz w:val="20"/>
                <w:szCs w:val="20"/>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w:t>
            </w: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 loss carryforwards</w:t>
            </w:r>
          </w:p>
        </w:tc>
        <w:tc>
          <w:tcPr>
            <w:tcW w:w="104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retirement benefits</w:t>
            </w:r>
          </w:p>
        </w:tc>
        <w:tc>
          <w:tcPr>
            <w:tcW w:w="1040" w:type="dxa"/>
            <w:vAlign w:val="bottom"/>
          </w:tcPr>
          <w:p>
            <w:pPr>
              <w:spacing w:after="0"/>
              <w:rPr>
                <w:sz w:val="20"/>
                <w:szCs w:val="20"/>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189</w:t>
            </w: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4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153</w:t>
            </w: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compensation</w:t>
            </w:r>
          </w:p>
        </w:tc>
        <w:tc>
          <w:tcPr>
            <w:tcW w:w="1040" w:type="dxa"/>
            <w:vAlign w:val="bottom"/>
          </w:tcPr>
          <w:p>
            <w:pPr>
              <w:spacing w:after="0"/>
              <w:rPr>
                <w:sz w:val="20"/>
                <w:szCs w:val="20"/>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92</w:t>
            </w: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options</w:t>
            </w:r>
          </w:p>
        </w:tc>
        <w:tc>
          <w:tcPr>
            <w:tcW w:w="104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derivative transactions</w:t>
            </w: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r>
      <w:tr>
        <w:trPr>
          <w:trHeight w:val="24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04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617</w:t>
            </w:r>
          </w:p>
        </w:tc>
        <w:tc>
          <w:tcPr>
            <w:tcW w:w="1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692</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3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1040" w:type="dxa"/>
            <w:vAlign w:val="bottom"/>
            <w:tcBorders>
              <w:bottom w:val="single" w:sz="8" w:color="auto"/>
            </w:tcBorders>
            <w:shd w:val="clear" w:color="auto" w:fill="CFF0FC"/>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589</w:t>
            </w:r>
          </w:p>
        </w:tc>
        <w:tc>
          <w:tcPr>
            <w:tcW w:w="1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650</w:t>
            </w:r>
          </w:p>
        </w:tc>
      </w:tr>
      <w:tr>
        <w:trPr>
          <w:trHeight w:val="23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intangible assets, net of related amortization</w:t>
            </w:r>
          </w:p>
        </w:tc>
        <w:tc>
          <w:tcPr>
            <w:tcW w:w="1040" w:type="dxa"/>
            <w:vAlign w:val="bottom"/>
            <w:shd w:val="clear" w:color="auto" w:fill="CFF0FC"/>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679</w:t>
            </w:r>
          </w:p>
        </w:tc>
        <w:tc>
          <w:tcPr>
            <w:tcW w:w="64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735</w:t>
            </w: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40" w:type="dxa"/>
            <w:vAlign w:val="bottom"/>
          </w:tcPr>
          <w:p>
            <w:pPr>
              <w:spacing w:after="0"/>
              <w:rPr>
                <w:sz w:val="20"/>
                <w:szCs w:val="20"/>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142</w:t>
            </w: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tangible assets, net of related depreciation</w:t>
            </w:r>
          </w:p>
        </w:tc>
        <w:tc>
          <w:tcPr>
            <w:tcW w:w="104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95</w:t>
            </w: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retirement benefits</w:t>
            </w:r>
          </w:p>
        </w:tc>
        <w:tc>
          <w:tcPr>
            <w:tcW w:w="1040" w:type="dxa"/>
            <w:vAlign w:val="bottom"/>
          </w:tcPr>
          <w:p>
            <w:pPr>
              <w:spacing w:after="0"/>
              <w:rPr>
                <w:sz w:val="20"/>
                <w:szCs w:val="20"/>
                <w:color w:val="auto"/>
              </w:rPr>
            </w:pP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228</w:t>
            </w: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revenue not currently taxable</w:t>
            </w:r>
          </w:p>
        </w:tc>
        <w:tc>
          <w:tcPr>
            <w:tcW w:w="104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262</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194</w:t>
            </w: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Unremitted earnings</w:t>
            </w:r>
          </w:p>
        </w:tc>
        <w:tc>
          <w:tcPr>
            <w:tcW w:w="10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r>
      <w:tr>
        <w:trPr>
          <w:trHeight w:val="236"/>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40" w:type="dxa"/>
            <w:vAlign w:val="bottom"/>
            <w:tcBorders>
              <w:bottom w:val="single" w:sz="8" w:color="auto"/>
            </w:tcBorders>
            <w:shd w:val="clear" w:color="auto" w:fill="CFF0FC"/>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1,269</w:t>
            </w:r>
          </w:p>
        </w:tc>
        <w:tc>
          <w:tcPr>
            <w:tcW w:w="1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1,416</w:t>
            </w:r>
          </w:p>
        </w:tc>
      </w:tr>
      <w:tr>
        <w:trPr>
          <w:trHeight w:val="23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04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680</w:t>
            </w:r>
          </w:p>
        </w:tc>
        <w:tc>
          <w:tcPr>
            <w:tcW w:w="6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766</w:t>
            </w:r>
          </w:p>
        </w:tc>
      </w:tr>
      <w:tr>
        <w:trPr>
          <w:trHeight w:val="20"/>
        </w:trPr>
        <w:tc>
          <w:tcPr>
            <w:tcW w:w="77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5955665</wp:posOffset>
            </wp:positionH>
            <wp:positionV relativeFrom="paragraph">
              <wp:posOffset>-1437640</wp:posOffset>
            </wp:positionV>
            <wp:extent cx="120015" cy="16256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0015" cy="162560"/>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-187960</wp:posOffset>
            </wp:positionV>
            <wp:extent cx="120015" cy="18859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0015" cy="188595"/>
                    </a:xfrm>
                    <a:prstGeom prst="rect">
                      <a:avLst/>
                    </a:prstGeom>
                    <a:noFill/>
                  </pic:spPr>
                </pic:pic>
              </a:graphicData>
            </a:graphic>
          </wp:anchor>
        </w:drawing>
      </w:r>
    </w:p>
    <w:p>
      <w:pPr>
        <w:spacing w:after="0" w:line="164"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The net deferred income tax assets are included in Other non-current assets and the net deferred tax liabilities are included in Deferred tax liabilities in our consolidated balance sheets.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Borders>
              <w:bottom w:val="single" w:sz="8" w:color="auto"/>
            </w:tcBorders>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11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sheet classifications:</w:t>
            </w:r>
          </w:p>
        </w:tc>
        <w:tc>
          <w:tcPr>
            <w:tcW w:w="11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non-current assets</w:t>
            </w:r>
          </w:p>
        </w:tc>
        <w:tc>
          <w:tcPr>
            <w:tcW w:w="110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68</w:t>
            </w: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79</w:t>
            </w:r>
          </w:p>
        </w:tc>
      </w:tr>
      <w:tr>
        <w:trPr>
          <w:trHeight w:val="243"/>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10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748</w:t>
            </w:r>
          </w:p>
        </w:tc>
        <w:tc>
          <w:tcPr>
            <w:tcW w:w="2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845</w:t>
            </w:r>
          </w:p>
        </w:tc>
      </w:tr>
      <w:tr>
        <w:trPr>
          <w:trHeight w:val="23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110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680</w:t>
            </w: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766</w:t>
            </w:r>
          </w:p>
        </w:tc>
      </w:tr>
      <w:tr>
        <w:trPr>
          <w:trHeight w:val="20"/>
        </w:trPr>
        <w:tc>
          <w:tcPr>
            <w:tcW w:w="77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5947410</wp:posOffset>
            </wp:positionH>
            <wp:positionV relativeFrom="paragraph">
              <wp:posOffset>-187960</wp:posOffset>
            </wp:positionV>
            <wp:extent cx="120015" cy="18859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0015" cy="188595"/>
                    </a:xfrm>
                    <a:prstGeom prst="rect">
                      <a:avLst/>
                    </a:prstGeom>
                    <a:noFill/>
                  </pic:spPr>
                </pic:pic>
              </a:graphicData>
            </a:graphic>
          </wp:anchor>
        </w:drawing>
      </w:r>
    </w:p>
    <w:p>
      <w:pPr>
        <w:spacing w:after="0" w:line="164"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At December 31, 2022, we had U.S. federal and non-U.S. net operating loss carryforwards amounting to $113 million of which $61 million can be indefinitely carried forward under local statutes. The remaining $52 million of net operating loss carryforwards will expire, if unused, in varying amounts from 2023 through 2042. In addition, we had U.S. state net operating loss carryforwards of $432 million, of which $31 million can be indefinitely carried forward, while the remaining $401 million will expire in varying amounts from 2023 to 2042.</w:t>
      </w:r>
    </w:p>
    <w:p>
      <w:pPr>
        <w:spacing w:after="0" w:line="12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Management believes, based on the evaluation of positive and negative evidence, including the future reversal of existing taxable temporary differences, it is more likely than not that the Company will realize the benefits of net deferred tax assets of $589 million, net of the valuation allowance. During 2022, the Company decreased its valuation allowance by $14 million, primarily related to certain state net operating losses. The Company determined the losses and the related valuation allowance would never be realized. During 2021, the Company decreased its valuation allowance by $42 million, primarily related to the disposal of underlying positions which were part of the divestment of Miller. In addition, part of the decrease reflected the utilization of the U.K. capital loss carryforward, the benefit of which was recorded in discontinued operations. During 2020, the Company increased its valuation allowance by $8 million, primarily related to non-U.S. deferred tax assets.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97" w:name="page98"/>
    <w:bookmarkEnd w:id="97"/>
    <w:p>
      <w:pPr>
        <w:ind w:right="20"/>
        <w:spacing w:after="0" w:line="265" w:lineRule="auto"/>
        <w:rPr>
          <w:sz w:val="20"/>
          <w:szCs w:val="20"/>
          <w:color w:val="auto"/>
        </w:rPr>
      </w:pPr>
      <w:r>
        <w:rPr>
          <w:rFonts w:ascii="Times New Roman" w:cs="Times New Roman" w:eastAsia="Times New Roman" w:hAnsi="Times New Roman"/>
          <w:sz w:val="18"/>
          <w:szCs w:val="18"/>
          <w:color w:val="auto"/>
        </w:rPr>
        <w:t>At December 31, 2022 and 2021, the Company had valuation allowances of $28 million and $42 million, respectively, to reduce its deferred tax assets to their estimated realizable values. The valuation allowance at December 31, 2022 primarily relates to deferred taxes on U.S. state and non-U.S. net operating losses of $10 million and $14 million, respectively.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analysis of our valuation allowance is shown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9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40" w:type="dxa"/>
            <w:vAlign w:val="bottom"/>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76</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charged to costs and expenses</w:t>
            </w:r>
          </w:p>
        </w:tc>
        <w:tc>
          <w:tcPr>
            <w:tcW w:w="940" w:type="dxa"/>
            <w:vAlign w:val="bottom"/>
          </w:tcPr>
          <w:p>
            <w:pPr>
              <w:spacing w:after="0"/>
              <w:rPr>
                <w:sz w:val="20"/>
                <w:szCs w:val="20"/>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Deductions</w:t>
            </w:r>
          </w:p>
        </w:tc>
        <w:tc>
          <w:tcPr>
            <w:tcW w:w="94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3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84</w:t>
            </w:r>
          </w:p>
        </w:tc>
      </w:tr>
      <w:tr>
        <w:trPr>
          <w:trHeight w:val="20"/>
        </w:trPr>
        <w:tc>
          <w:tcPr>
            <w:tcW w:w="66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5116830</wp:posOffset>
            </wp:positionH>
            <wp:positionV relativeFrom="paragraph">
              <wp:posOffset>-187960</wp:posOffset>
            </wp:positionV>
            <wp:extent cx="102870" cy="18859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-187960</wp:posOffset>
            </wp:positionV>
            <wp:extent cx="102870" cy="18859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02870" cy="188595"/>
                    </a:xfrm>
                    <a:prstGeom prst="rect">
                      <a:avLst/>
                    </a:prstGeom>
                    <a:noFill/>
                  </pic:spPr>
                </pic:pic>
              </a:graphicData>
            </a:graphic>
          </wp:anchor>
        </w:drawing>
      </w:r>
    </w:p>
    <w:p>
      <w:pPr>
        <w:spacing w:after="0" w:line="123"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The movement in the current-year valuation allowance differs from the 2022 rate reconciliation primarily due to the write-down of state net operating losses and the related valuation allowance. In addition, current-year and prior-year valuation allowances differ from the 2022 and 2021 rate reconciliations, respectively, as part of the tax benefits were allocated to discontinued operations.</w:t>
      </w:r>
    </w:p>
    <w:p>
      <w:pPr>
        <w:spacing w:after="0" w:line="12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recognizes deferred tax balances related to the undistributed earnings of subsidiaries when it expects that it will recover those undistributed earnings in a taxable manner, such as through receipt of dividends or sale of the investments. At December 31, 2022 the Company has $16.5 billion of undistributed earnings in subsidiaries where no deferred tax has been recognized. Of this amount $9.3 billion relates to earnings which have been reinvested indefinitely and $7.2 billion relates to earnings identified as being recoverable in an untaxable manner. It is not practicable to calculate the tax cost of repatriating the unremitted earnings which have been reinvested indefinitely. If future events, including material changes in estimates of cash, working capital and long-term investment requirements necessitate that these earnings be distributed, an additional provision for income and foreign withholding taxes, net of credits, may be necessary.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75"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8"/>
          <w:szCs w:val="18"/>
          <w:color w:val="auto"/>
        </w:rPr>
        <w:t>At December 31, 2022, the amount of unrecognized tax benefits associated with uncertain tax positions, determined in accordance with ASC Subtopic 740-10, excluding interest and penalties, was $47 million. A reconciliation of the beginning and ending balances of the liability for unrecognized tax benefits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80" w:type="dxa"/>
            <w:vAlign w:val="bottom"/>
          </w:tcPr>
          <w:p>
            <w:pPr>
              <w:spacing w:after="0"/>
              <w:rPr>
                <w:sz w:val="16"/>
                <w:szCs w:val="16"/>
                <w:color w:val="auto"/>
              </w:rPr>
            </w:pPr>
          </w:p>
        </w:tc>
        <w:tc>
          <w:tcPr>
            <w:tcW w:w="9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49</w:t>
            </w: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related to acquisitions</w:t>
            </w:r>
          </w:p>
        </w:tc>
        <w:tc>
          <w:tcPr>
            <w:tcW w:w="980" w:type="dxa"/>
            <w:vAlign w:val="bottom"/>
          </w:tcPr>
          <w:p>
            <w:pPr>
              <w:spacing w:after="0"/>
              <w:rPr>
                <w:sz w:val="20"/>
                <w:szCs w:val="20"/>
                <w:color w:val="auto"/>
              </w:rPr>
            </w:pP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r>
      <w:tr>
        <w:trPr>
          <w:trHeight w:val="24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Increases related to tax positions in prior years</w:t>
            </w:r>
          </w:p>
        </w:tc>
        <w:tc>
          <w:tcPr>
            <w:tcW w:w="98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Decreases related to tax positions in prior years</w:t>
            </w:r>
          </w:p>
        </w:tc>
        <w:tc>
          <w:tcPr>
            <w:tcW w:w="9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Decreases related to settlements</w:t>
            </w:r>
          </w:p>
        </w:tc>
        <w:tc>
          <w:tcPr>
            <w:tcW w:w="98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Decreases related to lapse in statute of limitations</w:t>
            </w:r>
          </w:p>
        </w:tc>
        <w:tc>
          <w:tcPr>
            <w:tcW w:w="9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43"/>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 and other adjustments</w:t>
            </w:r>
          </w:p>
        </w:tc>
        <w:tc>
          <w:tcPr>
            <w:tcW w:w="98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r>
      <w:tr>
        <w:trPr>
          <w:trHeight w:val="23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w:t>
            </w:r>
          </w:p>
        </w:tc>
        <w:tc>
          <w:tcPr>
            <w:tcW w:w="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65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5099685</wp:posOffset>
            </wp:positionH>
            <wp:positionV relativeFrom="paragraph">
              <wp:posOffset>-187960</wp:posOffset>
            </wp:positionV>
            <wp:extent cx="102870" cy="18859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-187960</wp:posOffset>
            </wp:positionV>
            <wp:extent cx="102870" cy="18859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02870" cy="188595"/>
                    </a:xfrm>
                    <a:prstGeom prst="rect">
                      <a:avLst/>
                    </a:prstGeom>
                    <a:noFill/>
                  </pic:spPr>
                </pic:pic>
              </a:graphicData>
            </a:graphic>
          </wp:anchor>
        </w:drawing>
      </w:r>
    </w:p>
    <w:p>
      <w:pPr>
        <w:spacing w:after="0" w:line="16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At December 31, 2022, the amount of unrecognized tax benefits associated with uncertain tax positions also includes $6 million which was allocated to tax expense in discontinued operations. The liability for unrecognized tax benefits for each of the years ended December 31, 2022, 2021 and 2020 can be reduced by $3 million of offsetting deferred tax benefits associated with timing differences, foreign tax credits and the federal tax benefit of state income taxes. If these offsetting deferred tax benefits were recognized, there would be a favorable impact on our effective tax rate. There are no material balances that would result in adjustments to other tax accounts.</w:t>
      </w:r>
    </w:p>
    <w:p>
      <w:pPr>
        <w:spacing w:after="0" w:line="128"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Interest and penalties related to unrecognized tax benefits are included as a component of income tax expense. At December 31, 2022 and 2021, we had cumulative accrued interest of $5 million. Accrued penalties were immaterial in 2022 and 2021.</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expense allocated to continuing operations for both the years ended December 31, 2022 and 2021 includes $1 million of interest expense.</w:t>
      </w:r>
    </w:p>
    <w:p>
      <w:pPr>
        <w:spacing w:after="0" w:line="171" w:lineRule="exact"/>
        <w:rPr>
          <w:sz w:val="20"/>
          <w:szCs w:val="20"/>
          <w:color w:val="auto"/>
        </w:rPr>
      </w:pPr>
    </w:p>
    <w:p>
      <w:pPr>
        <w:ind w:right="1000"/>
        <w:spacing w:after="0" w:line="281" w:lineRule="auto"/>
        <w:rPr>
          <w:sz w:val="20"/>
          <w:szCs w:val="20"/>
          <w:color w:val="auto"/>
        </w:rPr>
      </w:pPr>
      <w:r>
        <w:rPr>
          <w:rFonts w:ascii="Times New Roman" w:cs="Times New Roman" w:eastAsia="Times New Roman" w:hAnsi="Times New Roman"/>
          <w:sz w:val="18"/>
          <w:szCs w:val="18"/>
          <w:color w:val="auto"/>
        </w:rPr>
        <w:t>The Company believes that the outcomes which are reasonably possible within the next 12 months may result in a reduction in the liability for unrecognized tax benefits in the range of $3 million to $5 million, excluding interest and penalties.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its subsidiaries file income tax returns in various tax jurisdictions in which it operates.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98" w:name="page99"/>
    <w:bookmarkEnd w:id="98"/>
    <w:p>
      <w:pPr>
        <w:ind w:right="140"/>
        <w:spacing w:after="0" w:line="281" w:lineRule="auto"/>
        <w:rPr>
          <w:sz w:val="20"/>
          <w:szCs w:val="20"/>
          <w:color w:val="auto"/>
        </w:rPr>
      </w:pPr>
      <w:r>
        <w:rPr>
          <w:rFonts w:ascii="Times New Roman" w:cs="Times New Roman" w:eastAsia="Times New Roman" w:hAnsi="Times New Roman"/>
          <w:sz w:val="18"/>
          <w:szCs w:val="18"/>
          <w:color w:val="auto"/>
        </w:rPr>
        <w:t>During 2022, the Internal Revenue Service (‘IRS’) closed its examination of Willis North America Inc. and subsidiaries’ federal income tax filings for the tax years ended December 31, 2017 and December 31, 2018. There were no significant adjustments to income tax as reported.</w:t>
      </w:r>
    </w:p>
    <w:p>
      <w:pPr>
        <w:spacing w:after="0" w:line="109" w:lineRule="exact"/>
        <w:rPr>
          <w:sz w:val="20"/>
          <w:szCs w:val="20"/>
          <w:color w:val="auto"/>
        </w:rPr>
      </w:pPr>
    </w:p>
    <w:p>
      <w:pPr>
        <w:ind w:right="600"/>
        <w:spacing w:after="0" w:line="281" w:lineRule="auto"/>
        <w:rPr>
          <w:sz w:val="20"/>
          <w:szCs w:val="20"/>
          <w:color w:val="auto"/>
        </w:rPr>
      </w:pPr>
      <w:r>
        <w:rPr>
          <w:rFonts w:ascii="Times New Roman" w:cs="Times New Roman" w:eastAsia="Times New Roman" w:hAnsi="Times New Roman"/>
          <w:sz w:val="18"/>
          <w:szCs w:val="18"/>
          <w:color w:val="auto"/>
        </w:rPr>
        <w:t>We have ongoing state income tax examinations in certain states for tax years ranging from the short period July 1, 2015 to January 4, 2016 through December 31, 2019. The statute of limitations in certain states remains open back to the short tax period ended January 4, 2016.</w:t>
      </w:r>
    </w:p>
    <w:p>
      <w:pPr>
        <w:spacing w:after="0" w:line="109"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8"/>
          <w:szCs w:val="18"/>
          <w:color w:val="auto"/>
        </w:rPr>
        <w:t>All U.K. tax returns have been filed timely and are in the normal process of being reviewed by His Majesty’s Revenue &amp; Customs. The Company is not currently subject to any material examinations in other jurisdictions. A summary of the tax years that remain open to tax examination in our major tax jurisdictions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Open Tax Years</w:t>
            </w:r>
          </w:p>
        </w:tc>
      </w:tr>
      <w:tr>
        <w:trPr>
          <w:trHeight w:val="187"/>
        </w:trPr>
        <w:tc>
          <w:tcPr>
            <w:tcW w:w="900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 ending in)</w:t>
            </w:r>
          </w:p>
        </w:tc>
      </w:tr>
      <w:tr>
        <w:trPr>
          <w:trHeight w:val="236"/>
        </w:trPr>
        <w:tc>
          <w:tcPr>
            <w:tcW w:w="9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 federal</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 and forward</w:t>
            </w:r>
          </w:p>
        </w:tc>
      </w:tr>
      <w:tr>
        <w:trPr>
          <w:trHeight w:val="238"/>
        </w:trPr>
        <w:tc>
          <w:tcPr>
            <w:tcW w:w="9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 various states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 and forward</w:t>
            </w:r>
          </w:p>
        </w:tc>
      </w:tr>
      <w:tr>
        <w:trPr>
          <w:trHeight w:val="247"/>
        </w:trPr>
        <w:tc>
          <w:tcPr>
            <w:tcW w:w="9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U.K.</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2014 and forward</w:t>
            </w:r>
          </w:p>
        </w:tc>
      </w:tr>
      <w:tr>
        <w:trPr>
          <w:trHeight w:val="238"/>
        </w:trPr>
        <w:tc>
          <w:tcPr>
            <w:tcW w:w="9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Ireland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 and forward</w:t>
            </w:r>
          </w:p>
        </w:tc>
      </w:tr>
      <w:tr>
        <w:trPr>
          <w:trHeight w:val="247"/>
        </w:trPr>
        <w:tc>
          <w:tcPr>
            <w:tcW w:w="9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France</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2017 and forward</w:t>
            </w:r>
          </w:p>
        </w:tc>
      </w:tr>
      <w:tr>
        <w:trPr>
          <w:trHeight w:val="238"/>
        </w:trPr>
        <w:tc>
          <w:tcPr>
            <w:tcW w:w="9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Germany</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2008 and forward</w:t>
            </w:r>
          </w:p>
        </w:tc>
      </w:tr>
      <w:tr>
        <w:trPr>
          <w:trHeight w:val="247"/>
        </w:trPr>
        <w:tc>
          <w:tcPr>
            <w:tcW w:w="9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Canada - federal</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2015 and forward</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Fixed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changes in the net carrying amount of the components of fixed assets for the years ended December 31, 2022 and 2021: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Furniture,</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Leasehold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Land and</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132"/>
              <w:spacing w:after="0" w:line="149" w:lineRule="exact"/>
              <w:rPr>
                <w:sz w:val="20"/>
                <w:szCs w:val="20"/>
                <w:color w:val="auto"/>
              </w:rPr>
            </w:pPr>
            <w:r>
              <w:rPr>
                <w:rFonts w:ascii="Times New Roman" w:cs="Times New Roman" w:eastAsia="Times New Roman" w:hAnsi="Times New Roman"/>
                <w:sz w:val="14"/>
                <w:szCs w:val="14"/>
                <w:b w:val="1"/>
                <w:bCs w:val="1"/>
                <w:color w:val="auto"/>
              </w:rPr>
              <w:t>equipment and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vMerge w:val="restart"/>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5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at January 1, 2021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1,467</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577</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2,134</w:t>
            </w:r>
          </w:p>
        </w:tc>
        <w:tc>
          <w:tcPr>
            <w:tcW w:w="0" w:type="dxa"/>
            <w:vAlign w:val="bottom"/>
          </w:tcPr>
          <w:p>
            <w:pPr>
              <w:spacing w:after="0"/>
              <w:rPr>
                <w:sz w:val="1"/>
                <w:szCs w:val="1"/>
                <w:color w:val="auto"/>
              </w:rPr>
            </w:pPr>
          </w:p>
        </w:tc>
      </w:tr>
      <w:tr>
        <w:trPr>
          <w:trHeight w:val="238"/>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w:t>
            </w:r>
          </w:p>
        </w:tc>
        <w:tc>
          <w:tcPr>
            <w:tcW w:w="12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47"/>
        </w:trPr>
        <w:tc>
          <w:tcPr>
            <w:tcW w:w="5700" w:type="dxa"/>
            <w:vAlign w:val="bottom"/>
            <w:shd w:val="clear" w:color="auto" w:fill="CFF0FC"/>
          </w:tcPr>
          <w:p>
            <w:pPr>
              <w:ind w:left="200"/>
              <w:spacing w:after="0" w:line="247" w:lineRule="exact"/>
              <w:rPr>
                <w:sz w:val="20"/>
                <w:szCs w:val="20"/>
                <w:color w:val="auto"/>
              </w:rPr>
            </w:pPr>
            <w:r>
              <w:rPr>
                <w:rFonts w:ascii="Times New Roman" w:cs="Times New Roman" w:eastAsia="Times New Roman" w:hAnsi="Times New Roman"/>
                <w:sz w:val="18"/>
                <w:szCs w:val="18"/>
                <w:color w:val="auto"/>
              </w:rPr>
              <w:t xml:space="preserve">Disposals </w:t>
            </w:r>
            <w:r>
              <w:rPr>
                <w:rFonts w:ascii="Times New Roman" w:cs="Times New Roman" w:eastAsia="Times New Roman" w:hAnsi="Times New Roman"/>
                <w:sz w:val="24"/>
                <w:szCs w:val="24"/>
                <w:color w:val="auto"/>
                <w:vertAlign w:val="superscript"/>
              </w:rPr>
              <w:t>(i)</w:t>
            </w: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0" w:type="dxa"/>
            <w:vAlign w:val="bottom"/>
          </w:tcPr>
          <w:p>
            <w:pPr>
              <w:spacing w:after="0"/>
              <w:rPr>
                <w:sz w:val="1"/>
                <w:szCs w:val="1"/>
                <w:color w:val="auto"/>
              </w:rPr>
            </w:pPr>
          </w:p>
        </w:tc>
      </w:tr>
      <w:tr>
        <w:trPr>
          <w:trHeight w:val="243"/>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exchange</w:t>
            </w: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36"/>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at December 31, 2021</w:t>
            </w: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1,477</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527</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2,092</w:t>
            </w:r>
          </w:p>
        </w:tc>
        <w:tc>
          <w:tcPr>
            <w:tcW w:w="0" w:type="dxa"/>
            <w:vAlign w:val="bottom"/>
          </w:tcPr>
          <w:p>
            <w:pPr>
              <w:spacing w:after="0"/>
              <w:rPr>
                <w:sz w:val="1"/>
                <w:szCs w:val="1"/>
                <w:color w:val="auto"/>
              </w:rPr>
            </w:pPr>
          </w:p>
        </w:tc>
      </w:tr>
      <w:tr>
        <w:trPr>
          <w:trHeight w:val="238"/>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w:t>
            </w:r>
          </w:p>
        </w:tc>
        <w:tc>
          <w:tcPr>
            <w:tcW w:w="12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47"/>
        </w:trPr>
        <w:tc>
          <w:tcPr>
            <w:tcW w:w="5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Acquisitions</w:t>
            </w: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570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Disposals </w:t>
            </w:r>
            <w:r>
              <w:rPr>
                <w:rFonts w:ascii="Times New Roman" w:cs="Times New Roman" w:eastAsia="Times New Roman" w:hAnsi="Times New Roman"/>
                <w:sz w:val="24"/>
                <w:szCs w:val="24"/>
                <w:color w:val="auto"/>
                <w:vertAlign w:val="superscript"/>
              </w:rPr>
              <w:t>(ii)</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0" w:type="dxa"/>
            <w:vAlign w:val="bottom"/>
          </w:tcPr>
          <w:p>
            <w:pPr>
              <w:spacing w:after="0"/>
              <w:rPr>
                <w:sz w:val="1"/>
                <w:szCs w:val="1"/>
                <w:color w:val="auto"/>
              </w:rPr>
            </w:pPr>
          </w:p>
        </w:tc>
      </w:tr>
      <w:tr>
        <w:trPr>
          <w:trHeight w:val="243"/>
        </w:trPr>
        <w:tc>
          <w:tcPr>
            <w:tcW w:w="5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exchange</w:t>
            </w:r>
          </w:p>
        </w:tc>
        <w:tc>
          <w:tcPr>
            <w:tcW w:w="1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0" w:type="dxa"/>
            <w:vAlign w:val="bottom"/>
          </w:tcPr>
          <w:p>
            <w:pPr>
              <w:spacing w:after="0"/>
              <w:rPr>
                <w:sz w:val="1"/>
                <w:szCs w:val="1"/>
                <w:color w:val="auto"/>
              </w:rPr>
            </w:pPr>
          </w:p>
        </w:tc>
      </w:tr>
      <w:tr>
        <w:trPr>
          <w:trHeight w:val="23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at December 31, 2022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1,452</w:t>
            </w:r>
          </w:p>
        </w:tc>
        <w:tc>
          <w:tcPr>
            <w:tcW w:w="1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452</w:t>
            </w:r>
          </w:p>
        </w:tc>
        <w:tc>
          <w:tcPr>
            <w:tcW w:w="14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1,987</w:t>
            </w:r>
          </w:p>
        </w:tc>
        <w:tc>
          <w:tcPr>
            <w:tcW w:w="0" w:type="dxa"/>
            <w:vAlign w:val="bottom"/>
          </w:tcPr>
          <w:p>
            <w:pPr>
              <w:spacing w:after="0"/>
              <w:rPr>
                <w:sz w:val="1"/>
                <w:szCs w:val="1"/>
                <w:color w:val="auto"/>
              </w:rPr>
            </w:pPr>
          </w:p>
        </w:tc>
      </w:tr>
      <w:tr>
        <w:trPr>
          <w:trHeight w:val="236"/>
        </w:trPr>
        <w:tc>
          <w:tcPr>
            <w:tcW w:w="57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80" w:type="dxa"/>
            <w:vAlign w:val="bottom"/>
            <w:gridSpan w:val="2"/>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320" w:type="dxa"/>
            <w:vAlign w:val="bottom"/>
            <w:gridSpan w:val="2"/>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400" w:type="dxa"/>
            <w:vAlign w:val="bottom"/>
            <w:gridSpan w:val="2"/>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at January 1, 2021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(1,121 )</w:t>
            </w:r>
          </w:p>
        </w:tc>
        <w:tc>
          <w:tcPr>
            <w:tcW w:w="0" w:type="dxa"/>
            <w:vAlign w:val="bottom"/>
          </w:tcPr>
          <w:p>
            <w:pPr>
              <w:spacing w:after="0"/>
              <w:rPr>
                <w:sz w:val="1"/>
                <w:szCs w:val="1"/>
                <w:color w:val="auto"/>
              </w:rPr>
            </w:pPr>
          </w:p>
        </w:tc>
      </w:tr>
      <w:tr>
        <w:trPr>
          <w:trHeight w:val="247"/>
        </w:trPr>
        <w:tc>
          <w:tcPr>
            <w:tcW w:w="5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expense</w:t>
            </w: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(227 )</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(281 )</w:t>
            </w:r>
          </w:p>
        </w:tc>
        <w:tc>
          <w:tcPr>
            <w:tcW w:w="0" w:type="dxa"/>
            <w:vAlign w:val="bottom"/>
          </w:tcPr>
          <w:p>
            <w:pPr>
              <w:spacing w:after="0"/>
              <w:rPr>
                <w:sz w:val="1"/>
                <w:szCs w:val="1"/>
                <w:color w:val="auto"/>
              </w:rPr>
            </w:pPr>
          </w:p>
        </w:tc>
      </w:tr>
      <w:tr>
        <w:trPr>
          <w:trHeight w:val="238"/>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Disposals</w:t>
            </w:r>
          </w:p>
        </w:tc>
        <w:tc>
          <w:tcPr>
            <w:tcW w:w="12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47"/>
        </w:trPr>
        <w:tc>
          <w:tcPr>
            <w:tcW w:w="5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exchange</w:t>
            </w:r>
          </w:p>
        </w:tc>
        <w:tc>
          <w:tcPr>
            <w:tcW w:w="1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2"/>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at December 31, 2021</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(877 )</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(301 )</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(1,241 )</w:t>
            </w:r>
          </w:p>
        </w:tc>
        <w:tc>
          <w:tcPr>
            <w:tcW w:w="0" w:type="dxa"/>
            <w:vAlign w:val="bottom"/>
          </w:tcPr>
          <w:p>
            <w:pPr>
              <w:spacing w:after="0"/>
              <w:rPr>
                <w:sz w:val="1"/>
                <w:szCs w:val="1"/>
                <w:color w:val="auto"/>
              </w:rPr>
            </w:pPr>
          </w:p>
        </w:tc>
      </w:tr>
      <w:tr>
        <w:trPr>
          <w:trHeight w:val="247"/>
        </w:trPr>
        <w:tc>
          <w:tcPr>
            <w:tcW w:w="5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expense</w:t>
            </w: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0" w:type="dxa"/>
            <w:vAlign w:val="bottom"/>
          </w:tcPr>
          <w:p>
            <w:pPr>
              <w:spacing w:after="0"/>
              <w:rPr>
                <w:sz w:val="1"/>
                <w:szCs w:val="1"/>
                <w:color w:val="auto"/>
              </w:rPr>
            </w:pPr>
          </w:p>
        </w:tc>
      </w:tr>
      <w:tr>
        <w:trPr>
          <w:trHeight w:val="238"/>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Disposals</w:t>
            </w:r>
          </w:p>
        </w:tc>
        <w:tc>
          <w:tcPr>
            <w:tcW w:w="12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47"/>
        </w:trPr>
        <w:tc>
          <w:tcPr>
            <w:tcW w:w="5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exchange</w:t>
            </w:r>
          </w:p>
        </w:tc>
        <w:tc>
          <w:tcPr>
            <w:tcW w:w="1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at December 31, 2022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(1,269 )</w:t>
            </w:r>
          </w:p>
        </w:tc>
        <w:tc>
          <w:tcPr>
            <w:tcW w:w="0" w:type="dxa"/>
            <w:vAlign w:val="bottom"/>
          </w:tcPr>
          <w:p>
            <w:pPr>
              <w:spacing w:after="0"/>
              <w:rPr>
                <w:sz w:val="1"/>
                <w:szCs w:val="1"/>
                <w:color w:val="auto"/>
              </w:rPr>
            </w:pPr>
          </w:p>
        </w:tc>
      </w:tr>
      <w:tr>
        <w:trPr>
          <w:trHeight w:val="236"/>
        </w:trPr>
        <w:tc>
          <w:tcPr>
            <w:tcW w:w="57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book value:</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At December 31, 2021</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600</w:t>
            </w:r>
          </w:p>
        </w:tc>
        <w:tc>
          <w:tcPr>
            <w:tcW w:w="1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226</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851</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At December 31, 2022</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519</w:t>
            </w:r>
          </w:p>
        </w:tc>
        <w:tc>
          <w:tcPr>
            <w:tcW w:w="1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4448810</wp:posOffset>
            </wp:positionH>
            <wp:positionV relativeFrom="paragraph">
              <wp:posOffset>-2559685</wp:posOffset>
            </wp:positionV>
            <wp:extent cx="93980" cy="17145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-2559685</wp:posOffset>
            </wp:positionV>
            <wp:extent cx="85725" cy="17145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-2559685</wp:posOffset>
            </wp:positionV>
            <wp:extent cx="85725" cy="17145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-1617345</wp:posOffset>
            </wp:positionV>
            <wp:extent cx="93980" cy="16256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-1617345</wp:posOffset>
            </wp:positionV>
            <wp:extent cx="85725" cy="16256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-1617345</wp:posOffset>
            </wp:positionV>
            <wp:extent cx="85725" cy="16256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-992505</wp:posOffset>
            </wp:positionV>
            <wp:extent cx="93980" cy="17145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-992505</wp:posOffset>
            </wp:positionV>
            <wp:extent cx="85725" cy="17145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-992505</wp:posOffset>
            </wp:positionV>
            <wp:extent cx="85725" cy="17145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-358775</wp:posOffset>
            </wp:positionV>
            <wp:extent cx="1884045" cy="17970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884045" cy="17970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-24765</wp:posOffset>
            </wp:positionV>
            <wp:extent cx="939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-7620</wp:posOffset>
            </wp:positionV>
            <wp:extent cx="939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-24765</wp:posOffset>
            </wp:positionV>
            <wp:extent cx="8572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-7620</wp:posOffset>
            </wp:positionV>
            <wp:extent cx="8572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-24765</wp:posOffset>
            </wp:positionV>
            <wp:extent cx="8572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-7620</wp:posOffset>
            </wp:positionV>
            <wp:extent cx="8572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95059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87" w:lineRule="exact"/>
        <w:rPr>
          <w:sz w:val="20"/>
          <w:szCs w:val="20"/>
          <w:color w:val="auto"/>
        </w:rPr>
      </w:pPr>
    </w:p>
    <w:p>
      <w:pPr>
        <w:ind w:left="280" w:right="340" w:hanging="272"/>
        <w:spacing w:after="0" w:line="251" w:lineRule="auto"/>
        <w:tabs>
          <w:tab w:leader="none" w:pos="2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 million of furniture, equipment and software costs and $4 million of leasehold improvements costs which have been written off as part of technology modernization and real estate rationalization, respectively, under the Transformation program (see Note 6 – Restructuring Costs).</w:t>
      </w:r>
    </w:p>
    <w:p>
      <w:pPr>
        <w:ind w:left="280" w:right="200" w:hanging="272"/>
        <w:spacing w:after="0" w:line="258" w:lineRule="auto"/>
        <w:tabs>
          <w:tab w:leader="none" w:pos="2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 million of furniture, equipment and software costs and $18 million of leasehold improvements costs which have been written off as part of technology modernization and real estate rationalization, respectively, under the Transformation program (see Note 6 – Restructuring Costs).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color w:val="auto"/>
        </w:rPr>
        <w:t>Included within land and buildings are the following assets held under finance leases: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Borders>
              <w:bottom w:val="single" w:sz="8" w:color="auto"/>
            </w:tcBorders>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11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10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26</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2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76"/>
        </w:trPr>
        <w:tc>
          <w:tcPr>
            <w:tcW w:w="770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5947410</wp:posOffset>
            </wp:positionH>
            <wp:positionV relativeFrom="paragraph">
              <wp:posOffset>-24765</wp:posOffset>
            </wp:positionV>
            <wp:extent cx="12001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-7620</wp:posOffset>
            </wp:positionV>
            <wp:extent cx="12001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Goodwill and Other Intangible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75" w:lineRule="exact"/>
        <w:rPr>
          <w:sz w:val="20"/>
          <w:szCs w:val="20"/>
          <w:color w:val="auto"/>
        </w:rPr>
      </w:pPr>
    </w:p>
    <w:p>
      <w:pPr>
        <w:ind w:right="740"/>
        <w:spacing w:after="0" w:line="281" w:lineRule="auto"/>
        <w:rPr>
          <w:sz w:val="20"/>
          <w:szCs w:val="20"/>
          <w:color w:val="auto"/>
        </w:rPr>
      </w:pPr>
      <w:r>
        <w:rPr>
          <w:rFonts w:ascii="Times New Roman" w:cs="Times New Roman" w:eastAsia="Times New Roman" w:hAnsi="Times New Roman"/>
          <w:sz w:val="18"/>
          <w:szCs w:val="18"/>
          <w:color w:val="auto"/>
        </w:rPr>
        <w:t>The components of goodwill are outlined below for the years ended December 31, 2022 and 2021. The prior years’ segment information has been retrospectively adjusted to conform to the current year presentation.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vMerge w:val="restart"/>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HWC</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vMerge w:val="restart"/>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R&amp;B</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Divested</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12"/>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Businesses </w:t>
            </w:r>
            <w:r>
              <w:rPr>
                <w:rFonts w:ascii="Times New Roman" w:cs="Times New Roman" w:eastAsia="Times New Roman" w:hAnsi="Times New Roman"/>
                <w:sz w:val="19"/>
                <w:szCs w:val="19"/>
                <w:b w:val="1"/>
                <w:bCs w:val="1"/>
                <w:color w:val="auto"/>
                <w:vertAlign w:val="superscript"/>
              </w:rPr>
              <w:t>(i)</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26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gross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7,893</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2,798</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193</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10,884</w:t>
            </w:r>
          </w:p>
        </w:tc>
        <w:tc>
          <w:tcPr>
            <w:tcW w:w="0" w:type="dxa"/>
            <w:vAlign w:val="bottom"/>
          </w:tcPr>
          <w:p>
            <w:pPr>
              <w:spacing w:after="0"/>
              <w:rPr>
                <w:sz w:val="1"/>
                <w:szCs w:val="1"/>
                <w:color w:val="auto"/>
              </w:rPr>
            </w:pPr>
          </w:p>
        </w:tc>
      </w:tr>
      <w:tr>
        <w:trPr>
          <w:trHeight w:val="243"/>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2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(362 )</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(492 )</w:t>
            </w:r>
          </w:p>
        </w:tc>
        <w:tc>
          <w:tcPr>
            <w:tcW w:w="0" w:type="dxa"/>
            <w:vAlign w:val="bottom"/>
          </w:tcPr>
          <w:p>
            <w:pPr>
              <w:spacing w:after="0"/>
              <w:rPr>
                <w:sz w:val="1"/>
                <w:szCs w:val="1"/>
                <w:color w:val="auto"/>
              </w:rPr>
            </w:pPr>
          </w:p>
        </w:tc>
      </w:tr>
      <w:tr>
        <w:trPr>
          <w:trHeight w:val="23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net - December 31, 2020</w:t>
            </w:r>
          </w:p>
        </w:tc>
        <w:tc>
          <w:tcPr>
            <w:tcW w:w="260" w:type="dxa"/>
            <w:vAlign w:val="bottom"/>
          </w:tcPr>
          <w:p>
            <w:pPr>
              <w:spacing w:after="0"/>
              <w:rPr>
                <w:sz w:val="20"/>
                <w:szCs w:val="20"/>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7,763</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2,436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10,392</w:t>
            </w:r>
          </w:p>
        </w:tc>
        <w:tc>
          <w:tcPr>
            <w:tcW w:w="0" w:type="dxa"/>
            <w:vAlign w:val="bottom"/>
          </w:tcPr>
          <w:p>
            <w:pPr>
              <w:spacing w:after="0"/>
              <w:rPr>
                <w:sz w:val="1"/>
                <w:szCs w:val="1"/>
                <w:color w:val="auto"/>
              </w:rPr>
            </w:pPr>
          </w:p>
        </w:tc>
      </w:tr>
      <w:tr>
        <w:trPr>
          <w:trHeight w:val="247"/>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 acquired</w:t>
            </w: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8"/>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disposals</w:t>
            </w:r>
          </w:p>
        </w:tc>
        <w:tc>
          <w:tcPr>
            <w:tcW w:w="260" w:type="dxa"/>
            <w:vAlign w:val="bottom"/>
          </w:tcPr>
          <w:p>
            <w:pPr>
              <w:spacing w:after="0"/>
              <w:rPr>
                <w:sz w:val="20"/>
                <w:szCs w:val="20"/>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0" w:type="dxa"/>
            <w:vAlign w:val="bottom"/>
          </w:tcPr>
          <w:p>
            <w:pPr>
              <w:spacing w:after="0"/>
              <w:rPr>
                <w:sz w:val="1"/>
                <w:szCs w:val="1"/>
                <w:color w:val="auto"/>
              </w:rPr>
            </w:pPr>
          </w:p>
        </w:tc>
      </w:tr>
      <w:tr>
        <w:trPr>
          <w:trHeight w:val="243"/>
        </w:trPr>
        <w:tc>
          <w:tcPr>
            <w:tcW w:w="5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exchange</w:t>
            </w:r>
          </w:p>
        </w:tc>
        <w:tc>
          <w:tcPr>
            <w:tcW w:w="2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3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gross</w:t>
            </w: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7,904</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2,771</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10,675</w:t>
            </w:r>
          </w:p>
        </w:tc>
        <w:tc>
          <w:tcPr>
            <w:tcW w:w="0" w:type="dxa"/>
            <w:vAlign w:val="bottom"/>
          </w:tcPr>
          <w:p>
            <w:pPr>
              <w:spacing w:after="0"/>
              <w:rPr>
                <w:sz w:val="1"/>
                <w:szCs w:val="1"/>
                <w:color w:val="auto"/>
              </w:rPr>
            </w:pPr>
          </w:p>
        </w:tc>
      </w:tr>
      <w:tr>
        <w:trPr>
          <w:trHeight w:val="23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(362 )</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(492 )</w:t>
            </w:r>
          </w:p>
        </w:tc>
        <w:tc>
          <w:tcPr>
            <w:tcW w:w="0" w:type="dxa"/>
            <w:vAlign w:val="bottom"/>
          </w:tcPr>
          <w:p>
            <w:pPr>
              <w:spacing w:after="0"/>
              <w:rPr>
                <w:sz w:val="1"/>
                <w:szCs w:val="1"/>
                <w:color w:val="auto"/>
              </w:rPr>
            </w:pPr>
          </w:p>
        </w:tc>
      </w:tr>
      <w:tr>
        <w:trPr>
          <w:trHeight w:val="240"/>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net - December 31, 2021</w:t>
            </w:r>
          </w:p>
        </w:tc>
        <w:tc>
          <w:tcPr>
            <w:tcW w:w="26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7,774</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2,409</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10,183</w:t>
            </w:r>
          </w:p>
        </w:tc>
        <w:tc>
          <w:tcPr>
            <w:tcW w:w="0" w:type="dxa"/>
            <w:vAlign w:val="bottom"/>
          </w:tcPr>
          <w:p>
            <w:pPr>
              <w:spacing w:after="0"/>
              <w:rPr>
                <w:sz w:val="1"/>
                <w:szCs w:val="1"/>
                <w:color w:val="auto"/>
              </w:rPr>
            </w:pPr>
          </w:p>
        </w:tc>
      </w:tr>
      <w:tr>
        <w:trPr>
          <w:trHeight w:val="238"/>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acquired</w:t>
            </w:r>
          </w:p>
        </w:tc>
        <w:tc>
          <w:tcPr>
            <w:tcW w:w="260" w:type="dxa"/>
            <w:vAlign w:val="bottom"/>
          </w:tcPr>
          <w:p>
            <w:pPr>
              <w:spacing w:after="0"/>
              <w:rPr>
                <w:sz w:val="20"/>
                <w:szCs w:val="20"/>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47"/>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 disposals</w:t>
            </w: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38"/>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exchange</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40"/>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6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gross</w:t>
            </w:r>
          </w:p>
        </w:tc>
        <w:tc>
          <w:tcPr>
            <w:tcW w:w="260" w:type="dxa"/>
            <w:vAlign w:val="bottom"/>
          </w:tcPr>
          <w:p>
            <w:pPr>
              <w:spacing w:after="0"/>
              <w:rPr>
                <w:sz w:val="20"/>
                <w:szCs w:val="20"/>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7,870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2,795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10,665</w:t>
            </w:r>
          </w:p>
        </w:tc>
        <w:tc>
          <w:tcPr>
            <w:tcW w:w="0" w:type="dxa"/>
            <w:vAlign w:val="bottom"/>
          </w:tcPr>
          <w:p>
            <w:pPr>
              <w:spacing w:after="0"/>
              <w:rPr>
                <w:sz w:val="1"/>
                <w:szCs w:val="1"/>
                <w:color w:val="auto"/>
              </w:rPr>
            </w:pPr>
          </w:p>
        </w:tc>
      </w:tr>
      <w:tr>
        <w:trPr>
          <w:trHeight w:val="243"/>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2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(362 )</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(492 )</w:t>
            </w:r>
          </w:p>
        </w:tc>
        <w:tc>
          <w:tcPr>
            <w:tcW w:w="0" w:type="dxa"/>
            <w:vAlign w:val="bottom"/>
          </w:tcPr>
          <w:p>
            <w:pPr>
              <w:spacing w:after="0"/>
              <w:rPr>
                <w:sz w:val="1"/>
                <w:szCs w:val="1"/>
                <w:color w:val="auto"/>
              </w:rPr>
            </w:pPr>
          </w:p>
        </w:tc>
      </w:tr>
      <w:tr>
        <w:trPr>
          <w:trHeight w:val="23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net - December 31, 2022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7,740</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2,433</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10,173</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4465955</wp:posOffset>
            </wp:positionH>
            <wp:positionV relativeFrom="paragraph">
              <wp:posOffset>-2379980</wp:posOffset>
            </wp:positionV>
            <wp:extent cx="93980" cy="16256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-2379980</wp:posOffset>
            </wp:positionV>
            <wp:extent cx="85725" cy="16256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-2379980</wp:posOffset>
            </wp:positionV>
            <wp:extent cx="85725" cy="16256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-1754505</wp:posOffset>
            </wp:positionV>
            <wp:extent cx="93980" cy="16256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-1754505</wp:posOffset>
            </wp:positionV>
            <wp:extent cx="85725" cy="16256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-1754505</wp:posOffset>
            </wp:positionV>
            <wp:extent cx="85725" cy="16256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-187960</wp:posOffset>
            </wp:positionV>
            <wp:extent cx="93980" cy="18859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-187960</wp:posOffset>
            </wp:positionV>
            <wp:extent cx="85725" cy="18859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-187960</wp:posOffset>
            </wp:positionV>
            <wp:extent cx="85725" cy="18859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95059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Represents goodwill associated with certain Investment, Risk and Reinsurance businesses which were divested in 2021.</w:t>
      </w:r>
    </w:p>
    <w:p>
      <w:pPr>
        <w:spacing w:after="0" w:line="2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175"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The following table reflects changes in the net carrying amounts of the components of finite-lived intangible assets for the years ended December 31, 2022 and 2021:</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Client</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300" w:type="dxa"/>
            <w:vAlign w:val="bottom"/>
          </w:tcPr>
          <w:p>
            <w:pPr>
              <w:spacing w:after="0"/>
              <w:rPr>
                <w:sz w:val="13"/>
                <w:szCs w:val="13"/>
                <w:color w:val="auto"/>
              </w:rPr>
            </w:pPr>
          </w:p>
        </w:tc>
        <w:tc>
          <w:tcPr>
            <w:tcW w:w="120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Trademark and</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trade name</w:t>
            </w:r>
          </w:p>
        </w:tc>
        <w:tc>
          <w:tcPr>
            <w:tcW w:w="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 gross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4,012</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761</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1,054</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103</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5,930</w:t>
            </w:r>
          </w:p>
        </w:tc>
        <w:tc>
          <w:tcPr>
            <w:tcW w:w="0" w:type="dxa"/>
            <w:vAlign w:val="bottom"/>
          </w:tcPr>
          <w:p>
            <w:pPr>
              <w:spacing w:after="0"/>
              <w:rPr>
                <w:sz w:val="1"/>
                <w:szCs w:val="1"/>
                <w:color w:val="auto"/>
              </w:rPr>
            </w:pPr>
          </w:p>
        </w:tc>
      </w:tr>
      <w:tr>
        <w:trPr>
          <w:trHeight w:val="243"/>
        </w:trPr>
        <w:tc>
          <w:tcPr>
            <w:tcW w:w="4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(2,028 )</w:t>
            </w:r>
          </w:p>
        </w:tc>
        <w:tc>
          <w:tcPr>
            <w:tcW w:w="3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(659 )</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(2,941 )</w:t>
            </w:r>
          </w:p>
        </w:tc>
        <w:tc>
          <w:tcPr>
            <w:tcW w:w="0" w:type="dxa"/>
            <w:vAlign w:val="bottom"/>
          </w:tcPr>
          <w:p>
            <w:pPr>
              <w:spacing w:after="0"/>
              <w:rPr>
                <w:sz w:val="1"/>
                <w:szCs w:val="1"/>
                <w:color w:val="auto"/>
              </w:rPr>
            </w:pPr>
          </w:p>
        </w:tc>
      </w:tr>
      <w:tr>
        <w:trPr>
          <w:trHeight w:val="236"/>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 - December 31, 2020</w:t>
            </w:r>
          </w:p>
        </w:tc>
        <w:tc>
          <w:tcPr>
            <w:tcW w:w="140" w:type="dxa"/>
            <w:vAlign w:val="bottom"/>
          </w:tcPr>
          <w:p>
            <w:pPr>
              <w:spacing w:after="0"/>
              <w:rPr>
                <w:sz w:val="20"/>
                <w:szCs w:val="20"/>
                <w:color w:val="auto"/>
              </w:rPr>
            </w:pP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1,984</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834</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2,989</w:t>
            </w:r>
          </w:p>
        </w:tc>
        <w:tc>
          <w:tcPr>
            <w:tcW w:w="0" w:type="dxa"/>
            <w:vAlign w:val="bottom"/>
          </w:tcPr>
          <w:p>
            <w:pPr>
              <w:spacing w:after="0"/>
              <w:rPr>
                <w:sz w:val="1"/>
                <w:szCs w:val="1"/>
                <w:color w:val="auto"/>
              </w:rPr>
            </w:pPr>
          </w:p>
        </w:tc>
      </w:tr>
      <w:tr>
        <w:trPr>
          <w:trHeight w:val="247"/>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acquired</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8"/>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disposals</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47"/>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(369 )</w:t>
            </w:r>
          </w:p>
        </w:tc>
        <w:tc>
          <w:tcPr>
            <w:tcW w:w="0" w:type="dxa"/>
            <w:vAlign w:val="bottom"/>
          </w:tcPr>
          <w:p>
            <w:pPr>
              <w:spacing w:after="0"/>
              <w:rPr>
                <w:sz w:val="1"/>
                <w:szCs w:val="1"/>
                <w:color w:val="auto"/>
              </w:rPr>
            </w:pPr>
          </w:p>
        </w:tc>
      </w:tr>
      <w:tr>
        <w:trPr>
          <w:trHeight w:val="238"/>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40"/>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 gross</w:t>
            </w:r>
          </w:p>
        </w:tc>
        <w:tc>
          <w:tcPr>
            <w:tcW w:w="140" w:type="dxa"/>
            <w:vAlign w:val="bottom"/>
          </w:tcPr>
          <w:p>
            <w:pPr>
              <w:spacing w:after="0"/>
              <w:rPr>
                <w:sz w:val="20"/>
                <w:szCs w:val="20"/>
                <w:color w:val="auto"/>
              </w:rPr>
            </w:pP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3,794</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1,039</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5,677</w:t>
            </w:r>
          </w:p>
        </w:tc>
        <w:tc>
          <w:tcPr>
            <w:tcW w:w="0" w:type="dxa"/>
            <w:vAlign w:val="bottom"/>
          </w:tcPr>
          <w:p>
            <w:pPr>
              <w:spacing w:after="0"/>
              <w:rPr>
                <w:sz w:val="1"/>
                <w:szCs w:val="1"/>
                <w:color w:val="auto"/>
              </w:rPr>
            </w:pPr>
          </w:p>
        </w:tc>
      </w:tr>
      <w:tr>
        <w:trPr>
          <w:trHeight w:val="243"/>
        </w:trPr>
        <w:tc>
          <w:tcPr>
            <w:tcW w:w="4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(2,118 )</w:t>
            </w:r>
          </w:p>
        </w:tc>
        <w:tc>
          <w:tcPr>
            <w:tcW w:w="3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(701 )</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(3,122 )</w:t>
            </w:r>
          </w:p>
        </w:tc>
        <w:tc>
          <w:tcPr>
            <w:tcW w:w="0" w:type="dxa"/>
            <w:vAlign w:val="bottom"/>
          </w:tcPr>
          <w:p>
            <w:pPr>
              <w:spacing w:after="0"/>
              <w:rPr>
                <w:sz w:val="1"/>
                <w:szCs w:val="1"/>
                <w:color w:val="auto"/>
              </w:rPr>
            </w:pPr>
          </w:p>
        </w:tc>
      </w:tr>
      <w:tr>
        <w:trPr>
          <w:trHeight w:val="236"/>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 - December 31, 2021</w:t>
            </w:r>
          </w:p>
        </w:tc>
        <w:tc>
          <w:tcPr>
            <w:tcW w:w="140" w:type="dxa"/>
            <w:vAlign w:val="bottom"/>
          </w:tcPr>
          <w:p>
            <w:pPr>
              <w:spacing w:after="0"/>
              <w:rPr>
                <w:sz w:val="20"/>
                <w:szCs w:val="20"/>
                <w:color w:val="auto"/>
              </w:rPr>
            </w:pP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1,676</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782</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2,555</w:t>
            </w:r>
          </w:p>
        </w:tc>
        <w:tc>
          <w:tcPr>
            <w:tcW w:w="0" w:type="dxa"/>
            <w:vAlign w:val="bottom"/>
          </w:tcPr>
          <w:p>
            <w:pPr>
              <w:spacing w:after="0"/>
              <w:rPr>
                <w:sz w:val="1"/>
                <w:szCs w:val="1"/>
                <w:color w:val="auto"/>
              </w:rPr>
            </w:pPr>
          </w:p>
        </w:tc>
      </w:tr>
      <w:tr>
        <w:trPr>
          <w:trHeight w:val="247"/>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acquired</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67</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8"/>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disposals</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47"/>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(312 )</w:t>
            </w:r>
          </w:p>
        </w:tc>
        <w:tc>
          <w:tcPr>
            <w:tcW w:w="0" w:type="dxa"/>
            <w:vAlign w:val="bottom"/>
          </w:tcPr>
          <w:p>
            <w:pPr>
              <w:spacing w:after="0"/>
              <w:rPr>
                <w:sz w:val="1"/>
                <w:szCs w:val="1"/>
                <w:color w:val="auto"/>
              </w:rPr>
            </w:pPr>
          </w:p>
        </w:tc>
      </w:tr>
      <w:tr>
        <w:trPr>
          <w:trHeight w:val="238"/>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40"/>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 gross</w:t>
            </w:r>
          </w:p>
        </w:tc>
        <w:tc>
          <w:tcPr>
            <w:tcW w:w="140" w:type="dxa"/>
            <w:vAlign w:val="bottom"/>
          </w:tcPr>
          <w:p>
            <w:pPr>
              <w:spacing w:after="0"/>
              <w:rPr>
                <w:sz w:val="20"/>
                <w:szCs w:val="20"/>
                <w:color w:val="auto"/>
              </w:rPr>
            </w:pP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3,760</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725</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1,038</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5,621</w:t>
            </w:r>
          </w:p>
        </w:tc>
        <w:tc>
          <w:tcPr>
            <w:tcW w:w="0" w:type="dxa"/>
            <w:vAlign w:val="bottom"/>
          </w:tcPr>
          <w:p>
            <w:pPr>
              <w:spacing w:after="0"/>
              <w:rPr>
                <w:sz w:val="1"/>
                <w:szCs w:val="1"/>
                <w:color w:val="auto"/>
              </w:rPr>
            </w:pPr>
          </w:p>
        </w:tc>
      </w:tr>
      <w:tr>
        <w:trPr>
          <w:trHeight w:val="243"/>
        </w:trPr>
        <w:tc>
          <w:tcPr>
            <w:tcW w:w="4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(2,282 )</w:t>
            </w:r>
          </w:p>
        </w:tc>
        <w:tc>
          <w:tcPr>
            <w:tcW w:w="3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(712 )</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(298 )</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(3,348 )</w:t>
            </w:r>
          </w:p>
        </w:tc>
        <w:tc>
          <w:tcPr>
            <w:tcW w:w="0" w:type="dxa"/>
            <w:vAlign w:val="bottom"/>
          </w:tcPr>
          <w:p>
            <w:pPr>
              <w:spacing w:after="0"/>
              <w:rPr>
                <w:sz w:val="1"/>
                <w:szCs w:val="1"/>
                <w:color w:val="auto"/>
              </w:rPr>
            </w:pPr>
          </w:p>
        </w:tc>
      </w:tr>
      <w:tr>
        <w:trPr>
          <w:trHeight w:val="236"/>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 - December 31, 2022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1,478</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740</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2,273</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3455670</wp:posOffset>
            </wp:positionH>
            <wp:positionV relativeFrom="paragraph">
              <wp:posOffset>-2687955</wp:posOffset>
            </wp:positionV>
            <wp:extent cx="196850" cy="16256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96850" cy="162560"/>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-2687955</wp:posOffset>
            </wp:positionV>
            <wp:extent cx="188595" cy="16256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88595" cy="16256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-2687955</wp:posOffset>
            </wp:positionV>
            <wp:extent cx="188595" cy="16256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88595" cy="162560"/>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-2687955</wp:posOffset>
            </wp:positionV>
            <wp:extent cx="188595" cy="16256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88595" cy="162560"/>
                    </a:xfrm>
                    <a:prstGeom prst="rect">
                      <a:avLst/>
                    </a:prstGeom>
                    <a:noFill/>
                  </pic:spPr>
                </pic:pic>
              </a:graphicData>
            </a:graphic>
          </wp:anchor>
        </w:drawing>
        <w:drawing>
          <wp:anchor simplePos="0" relativeHeight="251657728" behindDoc="1" locked="0" layoutInCell="0" allowOverlap="1">
            <wp:simplePos x="0" y="0"/>
            <wp:positionH relativeFrom="column">
              <wp:posOffset>3455670</wp:posOffset>
            </wp:positionH>
            <wp:positionV relativeFrom="paragraph">
              <wp:posOffset>-1437640</wp:posOffset>
            </wp:positionV>
            <wp:extent cx="196850" cy="16256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96850" cy="162560"/>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-1437640</wp:posOffset>
            </wp:positionV>
            <wp:extent cx="188595" cy="16256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88595" cy="16256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-1437640</wp:posOffset>
            </wp:positionV>
            <wp:extent cx="188595" cy="16256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88595" cy="162560"/>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-1437640</wp:posOffset>
            </wp:positionV>
            <wp:extent cx="188595" cy="16256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88595" cy="162560"/>
                    </a:xfrm>
                    <a:prstGeom prst="rect">
                      <a:avLst/>
                    </a:prstGeom>
                    <a:noFill/>
                  </pic:spPr>
                </pic:pic>
              </a:graphicData>
            </a:graphic>
          </wp:anchor>
        </w:drawing>
        <w:drawing>
          <wp:anchor simplePos="0" relativeHeight="251657728" behindDoc="1" locked="0" layoutInCell="0" allowOverlap="1">
            <wp:simplePos x="0" y="0"/>
            <wp:positionH relativeFrom="column">
              <wp:posOffset>3455670</wp:posOffset>
            </wp:positionH>
            <wp:positionV relativeFrom="paragraph">
              <wp:posOffset>-187960</wp:posOffset>
            </wp:positionV>
            <wp:extent cx="196850" cy="18859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96850" cy="18859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-187960</wp:posOffset>
            </wp:positionV>
            <wp:extent cx="188595" cy="18859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-187960</wp:posOffset>
            </wp:positionV>
            <wp:extent cx="188595" cy="18859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-187960</wp:posOffset>
            </wp:positionV>
            <wp:extent cx="188595" cy="18859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88595" cy="18859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remaining life of amortizable intangible assets and liabilities at December 31, 2022 was 12.3 years.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reflects the future estimated amortization expense for amortizable intangible assets for the next five years and thereafter:</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7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236"/>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67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263</w:t>
            </w:r>
          </w:p>
        </w:tc>
      </w:tr>
      <w:tr>
        <w:trPr>
          <w:trHeight w:val="238"/>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230</w:t>
            </w:r>
          </w:p>
        </w:tc>
      </w:tr>
      <w:tr>
        <w:trPr>
          <w:trHeight w:val="247"/>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7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209</w:t>
            </w:r>
          </w:p>
        </w:tc>
      </w:tr>
      <w:tr>
        <w:trPr>
          <w:trHeight w:val="238"/>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201</w:t>
            </w:r>
          </w:p>
        </w:tc>
      </w:tr>
      <w:tr>
        <w:trPr>
          <w:trHeight w:val="247"/>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7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197</w:t>
            </w:r>
          </w:p>
        </w:tc>
      </w:tr>
      <w:tr>
        <w:trPr>
          <w:trHeight w:val="238"/>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7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1,173</w:t>
            </w:r>
          </w:p>
        </w:tc>
      </w:tr>
      <w:tr>
        <w:trPr>
          <w:trHeight w:val="276"/>
        </w:trPr>
        <w:tc>
          <w:tcPr>
            <w:tcW w:w="2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7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2,273</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Derivative Financial Instruments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exposed to certain foreign currency risks. Where possible, we identify exposures in our business that can be offset internally. Where no natural offset is identified, we may choose to enter into various derivative transactions. These instruments have the effect of reducing our exposure to unfavorable changes in foreign currency rates. The Company’s board of directors reviews and approves policies for managing this risk as summarized below. Additional information regarding our derivative financial instruments can be found in Note 2 — Basis of Presentation, Significant Accounting Policies and Recent Accounting Pronouncements, Note 12 — Fair Value Measurements and Note 18 — Accumulated Other Comprehensive Loss.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173"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Certain non-U.S. subsidiaries receive revenue and incur expenses in currencies other than their functional currency, and as a result, the foreign subsidiary’s functional currency revenue and/or expenses will fluctuate as the currency rates change. Additionally, the forecast Pounds sterling expenses of our London brokerage market operations may exceed their Pounds sterling revenue, and the entity with</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01" w:name="page102"/>
    <w:bookmarkEnd w:id="101"/>
    <w:p>
      <w:pPr>
        <w:ind w:right="180"/>
        <w:spacing w:after="0" w:line="281" w:lineRule="auto"/>
        <w:rPr>
          <w:sz w:val="20"/>
          <w:szCs w:val="20"/>
          <w:color w:val="auto"/>
        </w:rPr>
      </w:pPr>
      <w:r>
        <w:rPr>
          <w:rFonts w:ascii="Times New Roman" w:cs="Times New Roman" w:eastAsia="Times New Roman" w:hAnsi="Times New Roman"/>
          <w:sz w:val="18"/>
          <w:szCs w:val="18"/>
          <w:color w:val="auto"/>
        </w:rPr>
        <w:t>such operations may also hold significant foreign currency asset or liability positions in the consolidated balance sheet. To reduce such variability, we use foreign exchange contracts to hedge against this currency risk.</w:t>
      </w:r>
    </w:p>
    <w:p>
      <w:pPr>
        <w:spacing w:after="0" w:line="109"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These derivatives were designated as hedging instruments and at December 31, 2022 and December 31, 2021 had total notional amounts of $134 million and $155 million, respectively, and had a net fair value liability of $3 million and a net fair value asset of $3 million, respectively.</w:t>
      </w:r>
    </w:p>
    <w:p>
      <w:pPr>
        <w:spacing w:after="0" w:line="10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At December 31, 2022, the Company estimates, based on current exchange rates, there will be $2 million of net derivative losses on forward exchange rates reclassified from accumulated other comprehensive loss into earnings within the next twelve months as the forecast transactions affect earnings. At December 31, 2022, our longest outstanding maturity was 1.7 years.</w:t>
      </w:r>
    </w:p>
    <w:p>
      <w:pPr>
        <w:spacing w:after="0" w:line="123"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color w:val="auto"/>
        </w:rPr>
        <w:t>The effects of the material derivative instruments that are designated as hedging instruments on the consolidated statements of comprehensive income for the years ended December 31, 2022, 2021 and 2020 are below. Amounts pertaining to the ineffective portion of hedging instruments and those excluded from effectiveness testing were immaterial for the years ended December 31, 2022, 2021 and 2020.</w:t>
      </w:r>
    </w:p>
    <w:p>
      <w:pPr>
        <w:spacing w:after="0" w:line="184"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4"/>
          <w:szCs w:val="14"/>
          <w:b w:val="1"/>
          <w:bCs w:val="1"/>
          <w:color w:val="auto"/>
        </w:rPr>
        <w:t>(Loss)/gain recognized in OCL (effective element)</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180" w:type="dxa"/>
            <w:vAlign w:val="bottom"/>
          </w:tcPr>
          <w:p>
            <w:pPr>
              <w:spacing w:after="0"/>
              <w:rPr>
                <w:sz w:val="13"/>
                <w:szCs w:val="13"/>
                <w:color w:val="auto"/>
              </w:rPr>
            </w:pPr>
          </w:p>
        </w:tc>
        <w:tc>
          <w:tcPr>
            <w:tcW w:w="13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3"/>
                <w:szCs w:val="13"/>
                <w:b w:val="1"/>
                <w:bCs w:val="1"/>
                <w:color w:val="auto"/>
              </w:rPr>
              <w:t>2022</w:t>
            </w:r>
          </w:p>
        </w:tc>
        <w:tc>
          <w:tcPr>
            <w:tcW w:w="58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2"/>
          </w:tcPr>
          <w:p>
            <w:pPr>
              <w:jc w:val="right"/>
              <w:ind w:right="244"/>
              <w:spacing w:after="0"/>
              <w:rPr>
                <w:sz w:val="20"/>
                <w:szCs w:val="20"/>
                <w:color w:val="auto"/>
              </w:rPr>
            </w:pPr>
            <w:r>
              <w:rPr>
                <w:rFonts w:ascii="Times New Roman" w:cs="Times New Roman" w:eastAsia="Times New Roman" w:hAnsi="Times New Roman"/>
                <w:sz w:val="13"/>
                <w:szCs w:val="13"/>
                <w:b w:val="1"/>
                <w:bCs w:val="1"/>
                <w:color w:val="auto"/>
              </w:rPr>
              <w:t>2021</w:t>
            </w:r>
          </w:p>
        </w:tc>
        <w:tc>
          <w:tcPr>
            <w:tcW w:w="5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right"/>
              <w:ind w:right="810"/>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222"/>
        </w:trPr>
        <w:tc>
          <w:tcPr>
            <w:tcW w:w="5180" w:type="dxa"/>
            <w:vAlign w:val="bottom"/>
            <w:tcBorders>
              <w:bottom w:val="single" w:sz="8" w:color="CFF0FC"/>
            </w:tcBorders>
            <w:shd w:val="clear" w:color="auto" w:fill="CFF0FC"/>
          </w:tcPr>
          <w:p>
            <w:pPr>
              <w:ind w:left="20"/>
              <w:spacing w:after="0" w:line="169" w:lineRule="exact"/>
              <w:rPr>
                <w:sz w:val="20"/>
                <w:szCs w:val="20"/>
                <w:color w:val="auto"/>
              </w:rPr>
            </w:pPr>
            <w:r>
              <w:rPr>
                <w:rFonts w:ascii="Times New Roman" w:cs="Times New Roman" w:eastAsia="Times New Roman" w:hAnsi="Times New Roman"/>
                <w:sz w:val="15"/>
                <w:szCs w:val="15"/>
                <w:color w:val="auto"/>
              </w:rPr>
              <w:t>Foreign exchange contracts</w:t>
            </w:r>
          </w:p>
        </w:tc>
        <w:tc>
          <w:tcPr>
            <w:tcW w:w="1320" w:type="dxa"/>
            <w:vAlign w:val="bottom"/>
            <w:tcBorders>
              <w:top w:val="single" w:sz="8" w:color="auto"/>
              <w:bottom w:val="single" w:sz="8" w:color="auto"/>
            </w:tcBorders>
            <w:shd w:val="clear" w:color="auto" w:fill="CFF0FC"/>
          </w:tcPr>
          <w:p>
            <w:pPr>
              <w:jc w:val="right"/>
              <w:ind w:right="1170"/>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(8 )</w:t>
            </w:r>
          </w:p>
        </w:tc>
        <w:tc>
          <w:tcPr>
            <w:tcW w:w="20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ind w:right="1144"/>
              <w:spacing w:after="0" w:line="169" w:lineRule="exact"/>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top w:val="single" w:sz="8" w:color="auto"/>
              <w:bottom w:val="single" w:sz="8" w:color="auto"/>
            </w:tcBorders>
            <w:shd w:val="clear" w:color="auto" w:fill="CFF0FC"/>
          </w:tcPr>
          <w:p>
            <w:pPr>
              <w:jc w:val="right"/>
              <w:ind w:right="44"/>
              <w:spacing w:after="0" w:line="169" w:lineRule="exact"/>
              <w:rPr>
                <w:sz w:val="20"/>
                <w:szCs w:val="20"/>
                <w:color w:val="auto"/>
              </w:rPr>
            </w:pPr>
            <w:r>
              <w:rPr>
                <w:rFonts w:ascii="Times New Roman" w:cs="Times New Roman" w:eastAsia="Times New Roman" w:hAnsi="Times New Roman"/>
                <w:sz w:val="15"/>
                <w:szCs w:val="15"/>
                <w:color w:val="auto"/>
              </w:rPr>
              <w:t>5</w:t>
            </w:r>
          </w:p>
        </w:tc>
        <w:tc>
          <w:tcPr>
            <w:tcW w:w="2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6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(13 )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4491990</wp:posOffset>
            </wp:positionH>
            <wp:positionV relativeFrom="paragraph">
              <wp:posOffset>-24765</wp:posOffset>
            </wp:positionV>
            <wp:extent cx="13716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-7620</wp:posOffset>
            </wp:positionV>
            <wp:extent cx="13716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-24765</wp:posOffset>
            </wp:positionV>
            <wp:extent cx="13716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-7620</wp:posOffset>
            </wp:positionV>
            <wp:extent cx="13716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p>
      <w:pPr>
        <w:spacing w:after="0" w:line="196" w:lineRule="exact"/>
        <w:rPr>
          <w:sz w:val="20"/>
          <w:szCs w:val="20"/>
          <w:color w:val="auto"/>
        </w:rPr>
      </w:pPr>
    </w:p>
    <w:p>
      <w:pPr>
        <w:ind w:left="20" w:right="1160"/>
        <w:spacing w:after="0" w:line="243" w:lineRule="auto"/>
        <w:rPr>
          <w:sz w:val="20"/>
          <w:szCs w:val="20"/>
          <w:color w:val="auto"/>
        </w:rPr>
      </w:pPr>
      <w:r>
        <w:rPr>
          <w:rFonts w:ascii="Times New Roman" w:cs="Times New Roman" w:eastAsia="Times New Roman" w:hAnsi="Times New Roman"/>
          <w:sz w:val="13"/>
          <w:szCs w:val="13"/>
          <w:b w:val="1"/>
          <w:bCs w:val="1"/>
          <w:color w:val="auto"/>
        </w:rPr>
        <w:t>Location of gain/(loss) reclassified from Accumulated OCL into income (effective 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312547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1254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Gain/(loss) reclassified from Accumulated OCL into income (effective 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16510</wp:posOffset>
            </wp:positionV>
            <wp:extent cx="387032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870325" cy="8255"/>
                    </a:xfrm>
                    <a:prstGeom prst="rect">
                      <a:avLst/>
                    </a:prstGeom>
                    <a:noFill/>
                  </pic:spPr>
                </pic:pic>
              </a:graphicData>
            </a:graphic>
          </wp:anchor>
        </w:drawing>
      </w:r>
    </w:p>
    <w:p>
      <w:pPr>
        <w:spacing w:after="0" w:line="12" w:lineRule="exact"/>
        <w:rPr>
          <w:sz w:val="20"/>
          <w:szCs w:val="20"/>
          <w:color w:val="auto"/>
        </w:rPr>
      </w:pPr>
    </w:p>
    <w:p>
      <w:pPr>
        <w:ind w:left="180"/>
        <w:spacing w:after="0"/>
        <w:tabs>
          <w:tab w:leader="none" w:pos="2280" w:val="left"/>
          <w:tab w:leader="none" w:pos="4360" w:val="left"/>
        </w:tabs>
        <w:rPr>
          <w:sz w:val="20"/>
          <w:szCs w:val="20"/>
          <w:color w:val="auto"/>
        </w:rPr>
      </w:pPr>
      <w:r>
        <w:rPr>
          <w:rFonts w:ascii="Times New Roman" w:cs="Times New Roman" w:eastAsia="Times New Roman" w:hAnsi="Times New Roman"/>
          <w:sz w:val="13"/>
          <w:szCs w:val="13"/>
          <w:b w:val="1"/>
          <w:bCs w:val="1"/>
          <w:color w:val="auto"/>
        </w:rPr>
        <w:t>2022</w:t>
      </w:r>
      <w:r>
        <w:rPr>
          <w:sz w:val="20"/>
          <w:szCs w:val="20"/>
          <w:color w:val="auto"/>
        </w:rPr>
        <w:tab/>
      </w:r>
      <w:r>
        <w:rPr>
          <w:rFonts w:ascii="Times New Roman" w:cs="Times New Roman" w:eastAsia="Times New Roman" w:hAnsi="Times New Roman"/>
          <w:sz w:val="13"/>
          <w:szCs w:val="13"/>
          <w:b w:val="1"/>
          <w:bCs w:val="1"/>
          <w:color w:val="auto"/>
        </w:rPr>
        <w:t>2021</w:t>
      </w:r>
      <w:r>
        <w:rPr>
          <w:sz w:val="20"/>
          <w:szCs w:val="20"/>
          <w:color w:val="auto"/>
        </w:rPr>
        <w:tab/>
      </w:r>
      <w:r>
        <w:rPr>
          <w:rFonts w:ascii="Times New Roman" w:cs="Times New Roman" w:eastAsia="Times New Roman" w:hAnsi="Times New Roman"/>
          <w:sz w:val="13"/>
          <w:szCs w:val="13"/>
          <w:b w:val="1"/>
          <w:bCs w:val="1"/>
          <w:color w:val="auto"/>
        </w:rPr>
        <w:t>2020</w:t>
      </w:r>
    </w:p>
    <w:p>
      <w:pPr>
        <w:spacing w:after="0" w:line="17" w:lineRule="exact"/>
        <w:rPr>
          <w:sz w:val="20"/>
          <w:szCs w:val="20"/>
          <w:color w:val="auto"/>
        </w:rPr>
      </w:pPr>
    </w:p>
    <w:p>
      <w:pPr>
        <w:sectPr>
          <w:pgSz w:w="11900" w:h="16838" w:orient="portrait"/>
          <w:cols w:equalWidth="0" w:num="2">
            <w:col w:w="5000" w:space="720"/>
            <w:col w:w="5520"/>
          </w:cols>
          <w:pgMar w:left="320" w:top="526" w:right="339" w:bottom="1440" w:gutter="0" w:footer="0" w:header="0"/>
          <w:type w:val="continuous"/>
        </w:sectPr>
      </w:pPr>
    </w:p>
    <w:tbl>
      <w:tblPr>
        <w:tblLayout w:type="fixed"/>
        <w:tblInd w:w="0" w:type="dxa"/>
        <w:tblCellMar>
          <w:top w:w="0" w:type="dxa"/>
          <w:left w:w="0" w:type="dxa"/>
          <w:bottom w:w="0" w:type="dxa"/>
          <w:right w:w="0" w:type="dxa"/>
        </w:tblCellMar>
      </w:tblPr>
      <w:tr>
        <w:trPr>
          <w:trHeight w:val="266"/>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840" w:type="dxa"/>
            <w:vAlign w:val="bottom"/>
            <w:tcBorders>
              <w:top w:val="single" w:sz="8" w:color="auto"/>
            </w:tcBorders>
            <w:shd w:val="clear" w:color="auto" w:fill="CFF0FC"/>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shd w:val="clear" w:color="auto" w:fill="CFF0FC"/>
          </w:tcPr>
          <w:p>
            <w:pPr>
              <w:spacing w:after="0"/>
              <w:rPr>
                <w:sz w:val="23"/>
                <w:szCs w:val="23"/>
                <w:color w:val="auto"/>
              </w:rPr>
            </w:pPr>
          </w:p>
        </w:tc>
        <w:tc>
          <w:tcPr>
            <w:tcW w:w="860" w:type="dxa"/>
            <w:vAlign w:val="bottom"/>
            <w:tcBorders>
              <w:top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200" w:type="dxa"/>
            <w:vAlign w:val="bottom"/>
            <w:shd w:val="clear" w:color="auto" w:fill="CFF0FC"/>
          </w:tcPr>
          <w:p>
            <w:pPr>
              <w:spacing w:after="0"/>
              <w:rPr>
                <w:sz w:val="23"/>
                <w:szCs w:val="23"/>
                <w:color w:val="auto"/>
              </w:rPr>
            </w:pPr>
          </w:p>
        </w:tc>
        <w:tc>
          <w:tcPr>
            <w:tcW w:w="860" w:type="dxa"/>
            <w:vAlign w:val="bottom"/>
            <w:tcBorders>
              <w:top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(5 )</w:t>
            </w:r>
          </w:p>
        </w:tc>
      </w:tr>
      <w:tr>
        <w:trPr>
          <w:trHeight w:val="260"/>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Salaries and benefits</w:t>
            </w:r>
          </w:p>
        </w:tc>
        <w:tc>
          <w:tcPr>
            <w:tcW w:w="8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r>
      <w:tr>
        <w:trPr>
          <w:trHeight w:val="276"/>
        </w:trPr>
        <w:tc>
          <w:tcPr>
            <w:tcW w:w="5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Discontinued operations</w:t>
            </w:r>
          </w:p>
        </w:tc>
        <w:tc>
          <w:tcPr>
            <w:tcW w:w="840" w:type="dxa"/>
            <w:vAlign w:val="bottom"/>
            <w:tcBorders>
              <w:bottom w:val="single" w:sz="8" w:color="auto"/>
            </w:tcBorders>
            <w:shd w:val="clear" w:color="auto" w:fill="CFF0FC"/>
          </w:tcPr>
          <w:p>
            <w:pPr>
              <w:spacing w:after="0"/>
              <w:rPr>
                <w:sz w:val="24"/>
                <w:szCs w:val="24"/>
                <w:color w:val="auto"/>
              </w:rPr>
            </w:pPr>
          </w:p>
        </w:tc>
        <w:tc>
          <w:tcPr>
            <w:tcW w:w="106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60"/>
        </w:trPr>
        <w:tc>
          <w:tcPr>
            <w:tcW w:w="5140" w:type="dxa"/>
            <w:vAlign w:val="bottom"/>
          </w:tcPr>
          <w:p>
            <w:pPr>
              <w:spacing w:after="0"/>
              <w:rPr>
                <w:sz w:val="22"/>
                <w:szCs w:val="22"/>
                <w:color w:val="auto"/>
              </w:rPr>
            </w:pP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80" w:type="dxa"/>
            <w:vAlign w:val="bottom"/>
            <w:gridSpan w:val="2"/>
          </w:tcPr>
          <w:p>
            <w:pPr>
              <w:jc w:val="right"/>
              <w:ind w:right="67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060" w:type="dxa"/>
            <w:vAlign w:val="bottom"/>
            <w:gridSpan w:val="2"/>
          </w:tcPr>
          <w:p>
            <w:pPr>
              <w:jc w:val="right"/>
              <w:ind w:right="6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20"/>
        </w:trPr>
        <w:tc>
          <w:tcPr>
            <w:tcW w:w="5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4474845</wp:posOffset>
            </wp:positionH>
            <wp:positionV relativeFrom="paragraph">
              <wp:posOffset>-205105</wp:posOffset>
            </wp:positionV>
            <wp:extent cx="137160" cy="20574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37160" cy="205740"/>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-205105</wp:posOffset>
            </wp:positionV>
            <wp:extent cx="128270" cy="20574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8270" cy="205740"/>
                    </a:xfrm>
                    <a:prstGeom prst="rect">
                      <a:avLst/>
                    </a:prstGeom>
                    <a:noFill/>
                  </pic:spPr>
                </pic:pic>
              </a:graphicData>
            </a:graphic>
          </wp:anchor>
        </w:drawing>
      </w:r>
    </w:p>
    <w:p>
      <w:pPr>
        <w:spacing w:after="0" w:line="16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engages in intercompany borrowing and lending between subsidiaries, primarily through its in-house banking operations which give rise to foreign exchange exposures. The Company mitigates these risks through the use of short-term foreign currency forward and swap transactions that offset the underlying exposure created when the borrower and lender have different functional currencies. These derivatives are not generally designated as hedging instruments, and at December 31, 2022 and December 31, 2021, we had notional amounts of $1.7 billion and $2.9 billion, respectively, and had net fair value assets of $24 million and $15 million, respectively. Such derivatives typically mature within three months.</w:t>
      </w:r>
    </w:p>
    <w:p>
      <w:pPr>
        <w:spacing w:after="0" w:line="128"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The effects of these derivatives that have not been designated as hedging instruments on the consolidated statements of comprehensive income for the years ended December 31, 2022, 2021 and 2020 are as follows (see Note 17 — Other Income, Net for the net foreign currency impact on the Company’s consolidated statements of comprehensive income which includes the results of the offset of underlying exposures):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Location of (loss)/gain</w:t>
            </w:r>
          </w:p>
        </w:tc>
        <w:tc>
          <w:tcPr>
            <w:tcW w:w="5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(Loss)/gain recognized in income</w:t>
            </w:r>
          </w:p>
        </w:tc>
        <w:tc>
          <w:tcPr>
            <w:tcW w:w="1060" w:type="dxa"/>
            <w:vAlign w:val="bottom"/>
            <w:tcBorders>
              <w:bottom w:val="single" w:sz="8" w:color="auto"/>
            </w:tcBorders>
          </w:tcPr>
          <w:p>
            <w:pPr>
              <w:spacing w:after="0"/>
              <w:rPr>
                <w:sz w:val="16"/>
                <w:szCs w:val="16"/>
                <w:color w:val="auto"/>
              </w:rPr>
            </w:pPr>
          </w:p>
        </w:tc>
      </w:tr>
      <w:tr>
        <w:trPr>
          <w:trHeight w:val="169"/>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140" w:type="dxa"/>
            <w:vAlign w:val="bottom"/>
          </w:tcPr>
          <w:p>
            <w:pPr>
              <w:spacing w:after="0"/>
              <w:rPr>
                <w:sz w:val="14"/>
                <w:szCs w:val="14"/>
                <w:color w:val="auto"/>
              </w:rPr>
            </w:pPr>
          </w:p>
        </w:tc>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recognized in income</w:t>
            </w:r>
          </w:p>
        </w:tc>
        <w:tc>
          <w:tcPr>
            <w:tcW w:w="140" w:type="dxa"/>
            <w:vAlign w:val="bottom"/>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76"/>
        </w:trPr>
        <w:tc>
          <w:tcPr>
            <w:tcW w:w="4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40" w:type="dxa"/>
            <w:vAlign w:val="bottom"/>
            <w:tcBorders>
              <w:bottom w:val="single" w:sz="8" w:color="CFF0FC"/>
            </w:tcBorders>
            <w:shd w:val="clear" w:color="auto" w:fill="CFF0FC"/>
          </w:tcPr>
          <w:p>
            <w:pPr>
              <w:spacing w:after="0"/>
              <w:rPr>
                <w:sz w:val="24"/>
                <w:szCs w:val="24"/>
                <w:color w:val="auto"/>
              </w:rPr>
            </w:pPr>
          </w:p>
        </w:tc>
        <w:tc>
          <w:tcPr>
            <w:tcW w:w="3000" w:type="dxa"/>
            <w:vAlign w:val="bottom"/>
            <w:tcBorders>
              <w:bottom w:val="single" w:sz="8" w:color="CFF0FC"/>
            </w:tcBorders>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Other income, net</w:t>
            </w:r>
          </w:p>
        </w:tc>
        <w:tc>
          <w:tcPr>
            <w:tcW w:w="500" w:type="dxa"/>
            <w:vAlign w:val="bottom"/>
            <w:tcBorders>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14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520"/>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 Debt</w:t>
            </w:r>
          </w:p>
        </w:tc>
        <w:tc>
          <w:tcPr>
            <w:tcW w:w="1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8"/>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Current debt consists of the following:</w:t>
            </w:r>
          </w:p>
        </w:tc>
        <w:tc>
          <w:tcPr>
            <w:tcW w:w="1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7"/>
        </w:trPr>
        <w:tc>
          <w:tcPr>
            <w:tcW w:w="4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69"/>
        </w:trPr>
        <w:tc>
          <w:tcPr>
            <w:tcW w:w="4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36"/>
        </w:trPr>
        <w:tc>
          <w:tcPr>
            <w:tcW w:w="406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2.125% senior notes due 2022 </w:t>
            </w:r>
            <w:r>
              <w:rPr>
                <w:rFonts w:ascii="Times New Roman" w:cs="Times New Roman" w:eastAsia="Times New Roman" w:hAnsi="Times New Roman"/>
                <w:sz w:val="24"/>
                <w:szCs w:val="24"/>
                <w:color w:val="auto"/>
                <w:vertAlign w:val="superscript"/>
              </w:rPr>
              <w:t>(i)</w:t>
            </w:r>
          </w:p>
        </w:tc>
        <w:tc>
          <w:tcPr>
            <w:tcW w:w="140" w:type="dxa"/>
            <w:vAlign w:val="bottom"/>
            <w:shd w:val="clear" w:color="auto" w:fill="CFF0FC"/>
          </w:tcPr>
          <w:p>
            <w:pPr>
              <w:spacing w:after="0"/>
              <w:rPr>
                <w:sz w:val="20"/>
                <w:szCs w:val="20"/>
                <w:color w:val="auto"/>
              </w:rPr>
            </w:pPr>
          </w:p>
        </w:tc>
        <w:tc>
          <w:tcPr>
            <w:tcW w:w="28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613</w:t>
            </w:r>
          </w:p>
        </w:tc>
      </w:tr>
      <w:tr>
        <w:trPr>
          <w:trHeight w:val="238"/>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4.625% senior notes due 2023</w:t>
            </w:r>
          </w:p>
        </w:tc>
        <w:tc>
          <w:tcPr>
            <w:tcW w:w="1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40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28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4"/>
                <w:szCs w:val="24"/>
                <w:color w:val="auto"/>
              </w:rPr>
            </w:pPr>
          </w:p>
        </w:tc>
        <w:tc>
          <w:tcPr>
            <w:tcW w:w="106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613</w:t>
            </w:r>
          </w:p>
        </w:tc>
      </w:tr>
      <w:tr>
        <w:trPr>
          <w:trHeight w:val="632"/>
        </w:trPr>
        <w:tc>
          <w:tcPr>
            <w:tcW w:w="4060" w:type="dxa"/>
            <w:vAlign w:val="bottom"/>
          </w:tcPr>
          <w:p>
            <w:pPr>
              <w:spacing w:after="0"/>
              <w:rPr>
                <w:sz w:val="24"/>
                <w:szCs w:val="24"/>
                <w:color w:val="auto"/>
              </w:rPr>
            </w:pPr>
          </w:p>
        </w:tc>
        <w:tc>
          <w:tcPr>
            <w:tcW w:w="30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01"/>
        </w:trPr>
        <w:tc>
          <w:tcPr>
            <w:tcW w:w="40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8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5390515</wp:posOffset>
            </wp:positionH>
            <wp:positionV relativeFrom="paragraph">
              <wp:posOffset>-1960245</wp:posOffset>
            </wp:positionV>
            <wp:extent cx="8572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-1943100</wp:posOffset>
            </wp:positionV>
            <wp:extent cx="8572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-1960245</wp:posOffset>
            </wp:positionV>
            <wp:extent cx="8572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-1943100</wp:posOffset>
            </wp:positionV>
            <wp:extent cx="8572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-513080</wp:posOffset>
            </wp:positionV>
            <wp:extent cx="12001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-495935</wp:posOffset>
            </wp:positionV>
            <wp:extent cx="12001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Borders>
              <w:bottom w:val="single" w:sz="8" w:color="auto"/>
            </w:tcBorders>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10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$1.5 billion credit facility</w:t>
            </w:r>
          </w:p>
        </w:tc>
        <w:tc>
          <w:tcPr>
            <w:tcW w:w="102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4.625% senior notes due 2023</w:t>
            </w:r>
          </w:p>
        </w:tc>
        <w:tc>
          <w:tcPr>
            <w:tcW w:w="1020" w:type="dxa"/>
            <w:vAlign w:val="bottom"/>
          </w:tcPr>
          <w:p>
            <w:pPr>
              <w:spacing w:after="0"/>
              <w:rPr>
                <w:sz w:val="20"/>
                <w:szCs w:val="20"/>
                <w:color w:val="auto"/>
              </w:rPr>
            </w:pP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249</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3.600% senior notes due 2024</w:t>
            </w:r>
          </w:p>
        </w:tc>
        <w:tc>
          <w:tcPr>
            <w:tcW w:w="102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649</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648</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4.400% senior notes due 2026</w:t>
            </w:r>
          </w:p>
        </w:tc>
        <w:tc>
          <w:tcPr>
            <w:tcW w:w="1020" w:type="dxa"/>
            <w:vAlign w:val="bottom"/>
          </w:tcPr>
          <w:p>
            <w:pPr>
              <w:spacing w:after="0"/>
              <w:rPr>
                <w:sz w:val="20"/>
                <w:szCs w:val="20"/>
                <w:color w:val="auto"/>
              </w:rPr>
            </w:pP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547</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546</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4.650% senior notes due 2027</w:t>
            </w:r>
          </w:p>
        </w:tc>
        <w:tc>
          <w:tcPr>
            <w:tcW w:w="102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744</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4.500% senior notes due 2028</w:t>
            </w:r>
          </w:p>
        </w:tc>
        <w:tc>
          <w:tcPr>
            <w:tcW w:w="1020" w:type="dxa"/>
            <w:vAlign w:val="bottom"/>
          </w:tcPr>
          <w:p>
            <w:pPr>
              <w:spacing w:after="0"/>
              <w:rPr>
                <w:sz w:val="20"/>
                <w:szCs w:val="20"/>
                <w:color w:val="auto"/>
              </w:rPr>
            </w:pP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597</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597</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2.950% senior notes due 2029</w:t>
            </w:r>
          </w:p>
        </w:tc>
        <w:tc>
          <w:tcPr>
            <w:tcW w:w="102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726</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726</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6.125% senior notes due 2043</w:t>
            </w:r>
          </w:p>
        </w:tc>
        <w:tc>
          <w:tcPr>
            <w:tcW w:w="1020" w:type="dxa"/>
            <w:vAlign w:val="bottom"/>
          </w:tcPr>
          <w:p>
            <w:pPr>
              <w:spacing w:after="0"/>
              <w:rPr>
                <w:sz w:val="20"/>
                <w:szCs w:val="20"/>
                <w:color w:val="auto"/>
              </w:rPr>
            </w:pP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271</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271</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5.050% senior notes due 2048</w:t>
            </w:r>
          </w:p>
        </w:tc>
        <w:tc>
          <w:tcPr>
            <w:tcW w:w="102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395</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395</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3.875% senior notes due 2049</w:t>
            </w:r>
          </w:p>
        </w:tc>
        <w:tc>
          <w:tcPr>
            <w:tcW w:w="10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542</w:t>
            </w:r>
          </w:p>
        </w:tc>
        <w:tc>
          <w:tcPr>
            <w:tcW w:w="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542</w:t>
            </w:r>
          </w:p>
        </w:tc>
      </w:tr>
      <w:tr>
        <w:trPr>
          <w:trHeight w:val="276"/>
        </w:trPr>
        <w:tc>
          <w:tcPr>
            <w:tcW w:w="77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4,471</w:t>
            </w:r>
          </w:p>
        </w:tc>
        <w:tc>
          <w:tcPr>
            <w:tcW w:w="1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3,974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5955665</wp:posOffset>
            </wp:positionH>
            <wp:positionV relativeFrom="paragraph">
              <wp:posOffset>-24765</wp:posOffset>
            </wp:positionV>
            <wp:extent cx="12001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-7620</wp:posOffset>
            </wp:positionV>
            <wp:extent cx="12001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95059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Notes issued in Euro (€540 million).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175"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color w:val="auto"/>
        </w:rPr>
        <w:t>The following table presents a summary of the entities that issued each note or entered into the revolving credit facility and those wholly-owned and consolidated subsidiaries of the Company that guarantee each respective note and the revolving credit facility on a joint and several basis as of December 31,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3.600% due 2024</w:t>
            </w:r>
          </w:p>
        </w:tc>
        <w:tc>
          <w:tcPr>
            <w:tcW w:w="0" w:type="dxa"/>
            <w:vAlign w:val="bottom"/>
          </w:tcPr>
          <w:p>
            <w:pPr>
              <w:spacing w:after="0"/>
              <w:rPr>
                <w:sz w:val="1"/>
                <w:szCs w:val="1"/>
                <w:color w:val="auto"/>
              </w:rPr>
            </w:pPr>
          </w:p>
        </w:tc>
      </w:tr>
      <w:tr>
        <w:trPr>
          <w:trHeight w:val="148"/>
        </w:trPr>
        <w:tc>
          <w:tcPr>
            <w:tcW w:w="6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Revolving credit facility</w:t>
            </w:r>
          </w:p>
        </w:tc>
        <w:tc>
          <w:tcPr>
            <w:tcW w:w="24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4.650% due 2027</w:t>
            </w:r>
          </w:p>
        </w:tc>
        <w:tc>
          <w:tcPr>
            <w:tcW w:w="0" w:type="dxa"/>
            <w:vAlign w:val="bottom"/>
          </w:tcPr>
          <w:p>
            <w:pPr>
              <w:spacing w:after="0"/>
              <w:rPr>
                <w:sz w:val="1"/>
                <w:szCs w:val="1"/>
                <w:color w:val="auto"/>
              </w:rPr>
            </w:pPr>
          </w:p>
        </w:tc>
      </w:tr>
      <w:tr>
        <w:trPr>
          <w:trHeight w:val="148"/>
        </w:trPr>
        <w:tc>
          <w:tcPr>
            <w:tcW w:w="6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4.500% due 2028</w:t>
            </w:r>
          </w:p>
        </w:tc>
        <w:tc>
          <w:tcPr>
            <w:tcW w:w="0" w:type="dxa"/>
            <w:vAlign w:val="bottom"/>
          </w:tcPr>
          <w:p>
            <w:pPr>
              <w:spacing w:after="0"/>
              <w:rPr>
                <w:sz w:val="1"/>
                <w:szCs w:val="1"/>
                <w:color w:val="auto"/>
              </w:rPr>
            </w:pPr>
          </w:p>
        </w:tc>
      </w:tr>
      <w:tr>
        <w:trPr>
          <w:trHeight w:val="148"/>
        </w:trPr>
        <w:tc>
          <w:tcPr>
            <w:tcW w:w="6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4.625% due 2023</w:t>
            </w:r>
          </w:p>
        </w:tc>
        <w:tc>
          <w:tcPr>
            <w:tcW w:w="24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2.950% due 2029</w:t>
            </w:r>
          </w:p>
        </w:tc>
        <w:tc>
          <w:tcPr>
            <w:tcW w:w="0" w:type="dxa"/>
            <w:vAlign w:val="bottom"/>
          </w:tcPr>
          <w:p>
            <w:pPr>
              <w:spacing w:after="0"/>
              <w:rPr>
                <w:sz w:val="1"/>
                <w:szCs w:val="1"/>
                <w:color w:val="auto"/>
              </w:rPr>
            </w:pPr>
          </w:p>
        </w:tc>
      </w:tr>
      <w:tr>
        <w:trPr>
          <w:trHeight w:val="148"/>
        </w:trPr>
        <w:tc>
          <w:tcPr>
            <w:tcW w:w="6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26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4.400% due 2026</w:t>
            </w:r>
          </w:p>
        </w:tc>
        <w:tc>
          <w:tcPr>
            <w:tcW w:w="24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5.050% due 2048</w:t>
            </w:r>
          </w:p>
        </w:tc>
        <w:tc>
          <w:tcPr>
            <w:tcW w:w="0" w:type="dxa"/>
            <w:vAlign w:val="bottom"/>
          </w:tcPr>
          <w:p>
            <w:pPr>
              <w:spacing w:after="0"/>
              <w:rPr>
                <w:sz w:val="1"/>
                <w:szCs w:val="1"/>
                <w:color w:val="auto"/>
              </w:rPr>
            </w:pPr>
          </w:p>
        </w:tc>
      </w:tr>
      <w:tr>
        <w:trPr>
          <w:trHeight w:val="187"/>
        </w:trPr>
        <w:tc>
          <w:tcPr>
            <w:tcW w:w="654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6.125% due 2043</w:t>
            </w:r>
          </w:p>
        </w:tc>
        <w:tc>
          <w:tcPr>
            <w:tcW w:w="24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3.875% due 2049</w:t>
            </w:r>
          </w:p>
        </w:tc>
        <w:tc>
          <w:tcPr>
            <w:tcW w:w="0" w:type="dxa"/>
            <w:vAlign w:val="bottom"/>
          </w:tcPr>
          <w:p>
            <w:pPr>
              <w:spacing w:after="0"/>
              <w:rPr>
                <w:sz w:val="1"/>
                <w:szCs w:val="1"/>
                <w:color w:val="auto"/>
              </w:rPr>
            </w:pPr>
          </w:p>
        </w:tc>
      </w:tr>
      <w:tr>
        <w:trPr>
          <w:trHeight w:val="236"/>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Willis Towers Watson plc</w:t>
            </w:r>
          </w:p>
        </w:tc>
        <w:tc>
          <w:tcPr>
            <w:tcW w:w="260" w:type="dxa"/>
            <w:vAlign w:val="bottom"/>
            <w:shd w:val="clear" w:color="auto" w:fill="CFF0FC"/>
          </w:tcPr>
          <w:p>
            <w:pPr>
              <w:spacing w:after="0"/>
              <w:rPr>
                <w:sz w:val="20"/>
                <w:szCs w:val="20"/>
                <w:color w:val="auto"/>
              </w:rPr>
            </w:pPr>
          </w:p>
        </w:tc>
        <w:tc>
          <w:tcPr>
            <w:tcW w:w="2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40" w:type="dxa"/>
            <w:vAlign w:val="bottom"/>
            <w:shd w:val="clear" w:color="auto" w:fill="CFF0FC"/>
          </w:tcPr>
          <w:p>
            <w:pPr>
              <w:spacing w:after="0"/>
              <w:rPr>
                <w:sz w:val="20"/>
                <w:szCs w:val="20"/>
                <w:color w:val="auto"/>
              </w:rPr>
            </w:pPr>
          </w:p>
        </w:tc>
        <w:tc>
          <w:tcPr>
            <w:tcW w:w="2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38"/>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Trinity Acquisition plc</w:t>
            </w:r>
          </w:p>
        </w:tc>
        <w:tc>
          <w:tcPr>
            <w:tcW w:w="26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Issuer</w:t>
            </w:r>
          </w:p>
        </w:tc>
        <w:tc>
          <w:tcPr>
            <w:tcW w:w="24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47"/>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Willis North America Inc.</w:t>
            </w:r>
          </w:p>
        </w:tc>
        <w:tc>
          <w:tcPr>
            <w:tcW w:w="260" w:type="dxa"/>
            <w:vAlign w:val="bottom"/>
            <w:shd w:val="clear" w:color="auto" w:fill="CFF0FC"/>
          </w:tcPr>
          <w:p>
            <w:pPr>
              <w:spacing w:after="0"/>
              <w:rPr>
                <w:sz w:val="21"/>
                <w:szCs w:val="21"/>
                <w:color w:val="auto"/>
              </w:rPr>
            </w:pPr>
          </w:p>
        </w:tc>
        <w:tc>
          <w:tcPr>
            <w:tcW w:w="2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40" w:type="dxa"/>
            <w:vAlign w:val="bottom"/>
            <w:shd w:val="clear" w:color="auto" w:fill="CFF0FC"/>
          </w:tcPr>
          <w:p>
            <w:pPr>
              <w:spacing w:after="0"/>
              <w:rPr>
                <w:sz w:val="21"/>
                <w:szCs w:val="21"/>
                <w:color w:val="auto"/>
              </w:rPr>
            </w:pPr>
          </w:p>
        </w:tc>
        <w:tc>
          <w:tcPr>
            <w:tcW w:w="2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Issuer</w:t>
            </w:r>
          </w:p>
        </w:tc>
        <w:tc>
          <w:tcPr>
            <w:tcW w:w="0" w:type="dxa"/>
            <w:vAlign w:val="bottom"/>
          </w:tcPr>
          <w:p>
            <w:pPr>
              <w:spacing w:after="0"/>
              <w:rPr>
                <w:sz w:val="1"/>
                <w:szCs w:val="1"/>
                <w:color w:val="auto"/>
              </w:rPr>
            </w:pPr>
          </w:p>
        </w:tc>
      </w:tr>
      <w:tr>
        <w:trPr>
          <w:trHeight w:val="238"/>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Willis Netherlands Holdings B.V.</w:t>
            </w:r>
          </w:p>
        </w:tc>
        <w:tc>
          <w:tcPr>
            <w:tcW w:w="26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4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47"/>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Willis Investment UK Holdings Limited</w:t>
            </w:r>
          </w:p>
        </w:tc>
        <w:tc>
          <w:tcPr>
            <w:tcW w:w="260" w:type="dxa"/>
            <w:vAlign w:val="bottom"/>
            <w:shd w:val="clear" w:color="auto" w:fill="CFF0FC"/>
          </w:tcPr>
          <w:p>
            <w:pPr>
              <w:spacing w:after="0"/>
              <w:rPr>
                <w:sz w:val="21"/>
                <w:szCs w:val="21"/>
                <w:color w:val="auto"/>
              </w:rPr>
            </w:pPr>
          </w:p>
        </w:tc>
        <w:tc>
          <w:tcPr>
            <w:tcW w:w="2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40" w:type="dxa"/>
            <w:vAlign w:val="bottom"/>
            <w:shd w:val="clear" w:color="auto" w:fill="CFF0FC"/>
          </w:tcPr>
          <w:p>
            <w:pPr>
              <w:spacing w:after="0"/>
              <w:rPr>
                <w:sz w:val="21"/>
                <w:szCs w:val="21"/>
                <w:color w:val="auto"/>
              </w:rPr>
            </w:pPr>
          </w:p>
        </w:tc>
        <w:tc>
          <w:tcPr>
            <w:tcW w:w="2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38"/>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 I Limited</w:t>
            </w:r>
          </w:p>
        </w:tc>
        <w:tc>
          <w:tcPr>
            <w:tcW w:w="26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4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47"/>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Willis Group Limited</w:t>
            </w:r>
          </w:p>
        </w:tc>
        <w:tc>
          <w:tcPr>
            <w:tcW w:w="260" w:type="dxa"/>
            <w:vAlign w:val="bottom"/>
            <w:shd w:val="clear" w:color="auto" w:fill="CFF0FC"/>
          </w:tcPr>
          <w:p>
            <w:pPr>
              <w:spacing w:after="0"/>
              <w:rPr>
                <w:sz w:val="21"/>
                <w:szCs w:val="21"/>
                <w:color w:val="auto"/>
              </w:rPr>
            </w:pPr>
          </w:p>
        </w:tc>
        <w:tc>
          <w:tcPr>
            <w:tcW w:w="2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40" w:type="dxa"/>
            <w:vAlign w:val="bottom"/>
            <w:shd w:val="clear" w:color="auto" w:fill="CFF0FC"/>
          </w:tcPr>
          <w:p>
            <w:pPr>
              <w:spacing w:after="0"/>
              <w:rPr>
                <w:sz w:val="21"/>
                <w:szCs w:val="21"/>
                <w:color w:val="auto"/>
              </w:rPr>
            </w:pPr>
          </w:p>
        </w:tc>
        <w:tc>
          <w:tcPr>
            <w:tcW w:w="2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38"/>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Willis Towers Watson Sub Holdings Unlimited Company</w:t>
            </w:r>
          </w:p>
        </w:tc>
        <w:tc>
          <w:tcPr>
            <w:tcW w:w="26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4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47"/>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Willis Towers Watson UK Holdings Limited</w:t>
            </w:r>
          </w:p>
        </w:tc>
        <w:tc>
          <w:tcPr>
            <w:tcW w:w="260" w:type="dxa"/>
            <w:vAlign w:val="bottom"/>
            <w:shd w:val="clear" w:color="auto" w:fill="CFF0FC"/>
          </w:tcPr>
          <w:p>
            <w:pPr>
              <w:spacing w:after="0"/>
              <w:rPr>
                <w:sz w:val="21"/>
                <w:szCs w:val="21"/>
                <w:color w:val="auto"/>
              </w:rPr>
            </w:pPr>
          </w:p>
        </w:tc>
        <w:tc>
          <w:tcPr>
            <w:tcW w:w="2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40" w:type="dxa"/>
            <w:vAlign w:val="bottom"/>
            <w:shd w:val="clear" w:color="auto" w:fill="CFF0FC"/>
          </w:tcPr>
          <w:p>
            <w:pPr>
              <w:spacing w:after="0"/>
              <w:rPr>
                <w:sz w:val="21"/>
                <w:szCs w:val="21"/>
                <w:color w:val="auto"/>
              </w:rPr>
            </w:pPr>
          </w:p>
        </w:tc>
        <w:tc>
          <w:tcPr>
            <w:tcW w:w="2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Credit Facility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$1.5 billion revolving credit facility</w:t>
      </w:r>
    </w:p>
    <w:p>
      <w:pPr>
        <w:spacing w:after="0" w:line="173"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On October 6, 2021, Trinity Acquisition plc entered into a second amended and restated revolving credit facility (the ‘new RCF’) for $1.5 billion that will mature on October 6, 2026. This new RCF replaced the previous $1.25 billion revolving credit facility which was due to expire in March of 2022 (see below for additional information).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 costs under the $1.5 billion facility differ if the borrowing is a ‘base rate’ borrowing or a ‘Eurocurrency’ borrowing, both as defined by the new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RCF, and equal the sum of the relevant benchmark plus a margin based on the Company’s senior unsecured long-term debt rating:</w:t>
      </w:r>
    </w:p>
    <w:p>
      <w:pPr>
        <w:spacing w:after="0" w:line="152" w:lineRule="exact"/>
        <w:rPr>
          <w:sz w:val="20"/>
          <w:szCs w:val="20"/>
          <w:color w:val="auto"/>
        </w:rPr>
      </w:pPr>
    </w:p>
    <w:p>
      <w:pPr>
        <w:ind w:left="760" w:right="40" w:hanging="378"/>
        <w:spacing w:after="0" w:line="265"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base rate borrowings, the benchmark rate will be the greatest of (a) the Prime Rate in effect on such day, (b) the Federal Funds Effective Rate in effect on such day plus 0.50%, and (c) the one-month LIBOR rate plus 1.0%. The margin on the base rate benchmark is 0.00% to 0.75% depending on the Company’s senior unsecured long-term debt rating.</w:t>
      </w:r>
    </w:p>
    <w:p>
      <w:pPr>
        <w:spacing w:after="0" w:line="69" w:lineRule="exact"/>
        <w:rPr>
          <w:rFonts w:ascii="Times New Roman" w:cs="Times New Roman" w:eastAsia="Times New Roman" w:hAnsi="Times New Roman"/>
          <w:sz w:val="18"/>
          <w:szCs w:val="18"/>
          <w:color w:val="auto"/>
        </w:rPr>
      </w:pPr>
    </w:p>
    <w:p>
      <w:pPr>
        <w:ind w:left="760" w:right="60" w:hanging="378"/>
        <w:spacing w:after="0" w:line="258"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Eurocurrency or Sterling Overnight Interbank Average Rate (‘SONIA’) borrowings, the rate will be the applicable LIBOR rate or SONIA (as applicable based on the currency of the borrower) plus a margin of 1.0% to 1.75% depending on the Company’s guaranteed unsecured long-term debt rating. In anticipation of the cessation of LIBOR, the new RCF provides for a benchmark rate adjustment that will be added to the replacement benchmark rate to reflect the differential between LIBOR and the replacement benchmark (e.g., the Secured Overnight Financing Rate). This adjustment amount will be a function of both the currency and borrowing tenor.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3" w:name="page104"/>
    <w:bookmarkEnd w:id="103"/>
    <w:p>
      <w:pPr>
        <w:ind w:right="100"/>
        <w:spacing w:after="0" w:line="281" w:lineRule="auto"/>
        <w:rPr>
          <w:sz w:val="20"/>
          <w:szCs w:val="20"/>
          <w:color w:val="auto"/>
        </w:rPr>
      </w:pPr>
      <w:r>
        <w:rPr>
          <w:rFonts w:ascii="Times New Roman" w:cs="Times New Roman" w:eastAsia="Times New Roman" w:hAnsi="Times New Roman"/>
          <w:sz w:val="18"/>
          <w:szCs w:val="18"/>
          <w:color w:val="auto"/>
        </w:rPr>
        <w:t>The new RCF also carries a commitment fee, applicable to the unused portion, of 0.09% to 0.25%, which is also based on the Company’s senior unsecured long-term debt rating.</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$1.25 billion revolving credit facility</w:t>
      </w:r>
    </w:p>
    <w:p>
      <w:pPr>
        <w:spacing w:after="0" w:line="17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Amounts outstanding under the previous $1.25 billion revolving credit facility bore interest at LIBOR plus a margin of 1.00% to 1.75%, or alternatively, the base rate plus a margin of 0.00% to 0.75%, based upon the Company’s guaranteed senior unsecured long-term debt rating.</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4.650% senior notes due 2027</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May 19, 2022, the Company, together with its wholly-owned subsidiary, Willis North America Inc. as issuer, completed an offering of $750 million aggregate principal amount of 4.650% senior notes due 2027 (‘2027 senior notes’). The effective interest rate of the 2027 senior notes is 4.79%, which includes the impact of the discount upon issuance. The 2027 senior notes will mature on June 15, 2027. Interest on the 2027 senior notes accrues from May 19, 2022 and will be paid in cash on June 15 and December 15 of each year, commencing on December 15, 2022. The net proceeds from this offering, after deducting the underwriting discount and estimated offering expenses, were approximately $744 million and were used to fully repay the €540 million ($582 million on the date of repayment) aggregate principal amount of the 2.125% Senior Notes due 2022 and related accrued interest, and for general corporate purposes.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2.950% senior notes due 2029 and 3.875% senior notes due 2049</w:t>
      </w:r>
    </w:p>
    <w:p>
      <w:pPr>
        <w:spacing w:after="0" w:line="17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On September 10, 2019, the Company, together with its wholly-owned subsidiary, Willis North America Inc., as issuer, completed an offering of $450 million aggregate principal amount of 2.950% senior notes due 2029 (the ‘initial 2029 senior notes’) and $550 million aggregate principal amount of 3.875% senior notes due 2049 (‘2049 senior notes’; collectively, the ‘2019 senior notes offering’). On May 29, 2020, the Company, together with its wholly-owned subsidiary, Willis North America Inc., as issuer, completed an offering of an additional $275 million aggregate principal amount of 2.950% senior notes due 2029 (the ‘additional 2029 senior notes’). The additional 2029 senior notes will be treated as a single class with, and otherwise identical to, the initial 2029 senior notes other than with respect to the date of issuance, the issue price and the amounts paid to holders for each class of note on the first interest payment date. The effective interest rates of the initial 2029 senior notes and 2049 senior notes are 2.971% and 3.898%, respectively, which include the impact of the discount upon issuance. The effective interest rate of the additional 2029 senior notes is 2.697%, which includes the impact of the premium upon issuance. Both 2029 senior notes offerings will mature on September 15, 2029, and the 2049 senior notes will mature on September 15, 2049. Interest on the 2019 senior notes offering has accrued from September 10, 2019 and is paid in cash on March 15 and September 15 of each year. Interest on the additional 2029 senior notes has accrued from March 15, 2020 and is paid in cash on March 15 and September 15 of each year. The net proceeds from the 2019 senior notes offering, after deducting underwriter discounts and commissions and estimated offering expenses, were approximately $988 million and were used to prepay a portion of the amount outstanding under the Company’s one-year term loan commitment (described below) and to repay borrowings under the Company’s $1.25 billion revolving credit facility. The net proceeds from the additional 2029 senior notes offering were used to repay $175 million of the full principal amount and related accrued interest under the term loan facility, which was set to expire in July 2020, as well as repay $105 million of borrowings outstanding under the Company’s $1.25 billion revolving credit facility and related accrued interest.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4.500% senior notes due 2028 and 5.050% senior notes due 2048</w:t>
      </w:r>
    </w:p>
    <w:p>
      <w:pPr>
        <w:spacing w:after="0" w:line="173"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color w:val="auto"/>
        </w:rPr>
        <w:t>On September 10, 2018, the Company, together with its wholly-owned subsidiary, Willis North America Inc. as issuer, completed an offering of $600 million of 4.500% senior notes due 2028 (‘2028 senior notes’) and $400 million of 5.050% senior notes due 2048 (‘2048 senior notes’). The effective interest rates of the 2028 senior notes and 2048 senior notes are 4.504% and 5.073%, respectively, which include the impact of the discount upon issuance. The 2028 senior notes will mature on September 15, 2028 and the 2048 senior notes will mature on September 15, 2048. Interest has accrued on both the 2028 senior notes and 2048 senior notes from September 10, 2018 and is paid in cash on March 15 and September 15 of each year. The net proceeds from this offering, after deducting underwriter discounts and commissions and estimated offering expenses, were $989 million and were used to prepay in full $127 million outstanding under the Company’s term loan due December 2019 and to repay a portion of the amount outstanding under the Company’s RCF.</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3.600% senior notes due 2024</w:t>
      </w:r>
    </w:p>
    <w:p>
      <w:pPr>
        <w:spacing w:after="0" w:line="173"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On May 16, 2017, Willis North America Inc. issued $650 million of 3.600% senior notes due 2024 (‘2024 senior notes’). The effective interest rate of the 2024 senior notes is 3.614</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04" w:name="page105"/>
    <w:bookmarkEnd w:id="104"/>
    <w:p>
      <w:pPr>
        <w:ind w:right="360"/>
        <w:spacing w:after="0" w:line="260" w:lineRule="auto"/>
        <w:rPr>
          <w:sz w:val="20"/>
          <w:szCs w:val="20"/>
          <w:color w:val="auto"/>
        </w:rPr>
      </w:pPr>
      <w:r>
        <w:rPr>
          <w:rFonts w:ascii="Times New Roman" w:cs="Times New Roman" w:eastAsia="Times New Roman" w:hAnsi="Times New Roman"/>
          <w:sz w:val="18"/>
          <w:szCs w:val="18"/>
          <w:color w:val="auto"/>
        </w:rPr>
        <w:t>%, which includes the impact of the discount upon issuance. The 2024 senior notes will mature on May 15, 2024, and interest has accrued on the 2024 senior notes from May 16, 2017 and is paid in cash on May 15 and November 15 of each year. The net proceeds from this offering, after deducting underwriter discounts and commissions and estimated offering expenses, were $644 million and were used to pay down amounts outstanding under the RCF and for general corporate purposes.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3.500% senior notes due 2021 (repaid in August 2021) and 4.400% senior notes due 2026</w:t>
      </w:r>
    </w:p>
    <w:p>
      <w:pPr>
        <w:spacing w:after="0" w:line="17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March 22, 2016, Trinity Acquisition plc issued $450 million of 3.500% senior notes due 2021 (‘2021 senior notes’) and $550 million of 4.400% senior notes due 2026 (‘2026 senior notes’). The effective interest rate of the 2021 senior notes was 3.707% and the effective interest rate on the 2026 senior notes is 4.572%, which includes the impact of the discount upon issuance. The 2021 senior notes were to mature on September 15, 2021; the 2026 senior notes will mature on March 15, 2026. Interest on the 2026 senior notes has accrued from March 22, 2016 and will be paid in cash on March 15 and September 15 of each year. The net proceeds from these offerings, after deducting underwriter discounts and commissions and estimated offering expenses, were $988 million. We used the net proceeds of these offerings to: (i) repay $300 million principal under the prior $800 million revolving credit facility and related accrued interest, which was drawn to repay our previously-issued 4.125% senior notes on March 15, 2016; (ii) repay $400 million principal on another portion of the previous 1-year term loan facility and related accrued interest; and (iii) pay down a portion of the remaining principal amount outstanding under the previous revolving credit facility and related accrued interest. In August 2021, the Company called the 2021 senior notes due to mature in September 2021 and repaid the principal and interest at that time using cash on-hand.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4.625% senior notes due 2023 and 6.125% senior notes due 2043</w:t>
      </w:r>
    </w:p>
    <w:p>
      <w:pPr>
        <w:spacing w:after="0" w:line="1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August 15, 2013, Trinity Acquisition plc issued $250 million of 4.625% senior notes due 2023 (‘2023 senior notes’) and $275 million of 6.125% senior notes due 2043 (‘2043 senior notes’). The effective interest rates of these senior notes are 4.696% and 6.154%, respectively, which include the impact of the discount upon issuance. The proceeds were used to repurchase other previously issued senior notes. The 2023 senior notes will mature on August 15, 2023 and the 2043 senior notes will mature on August 15, 2043.</w:t>
      </w:r>
    </w:p>
    <w:p>
      <w:pPr>
        <w:spacing w:after="0" w:line="124" w:lineRule="exact"/>
        <w:rPr>
          <w:sz w:val="20"/>
          <w:szCs w:val="20"/>
          <w:color w:val="auto"/>
        </w:rPr>
      </w:pPr>
    </w:p>
    <w:p>
      <w:pPr>
        <w:ind w:right="242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Additional Information Regarding Fully Repaid Senior Notes, Term Loan Commitment and Collateralized Facility </w:t>
      </w:r>
      <w:r>
        <w:rPr>
          <w:rFonts w:ascii="Times New Roman" w:cs="Times New Roman" w:eastAsia="Times New Roman" w:hAnsi="Times New Roman"/>
          <w:sz w:val="18"/>
          <w:szCs w:val="18"/>
          <w:i w:val="1"/>
          <w:iCs w:val="1"/>
          <w:color w:val="auto"/>
        </w:rPr>
        <w:t>2.125% senior notes due 2022</w:t>
      </w:r>
    </w:p>
    <w:p>
      <w:pPr>
        <w:ind w:right="40"/>
        <w:spacing w:after="0" w:line="256" w:lineRule="auto"/>
        <w:rPr>
          <w:sz w:val="20"/>
          <w:szCs w:val="20"/>
          <w:color w:val="auto"/>
        </w:rPr>
      </w:pPr>
      <w:r>
        <w:rPr>
          <w:rFonts w:ascii="Times New Roman" w:cs="Times New Roman" w:eastAsia="Times New Roman" w:hAnsi="Times New Roman"/>
          <w:sz w:val="18"/>
          <w:szCs w:val="18"/>
          <w:color w:val="auto"/>
        </w:rPr>
        <w:t>On May 26, 2016, Trinity Acquisition plc issued €540 million ($609 million) of 2.125% senior notes due 2022 (‘2022 senior notes’). The effective interest rate of these senior notes was 2.154%, which included the impact of the discount upon issuance. The 2022 senior notes matured on May 26, 2022. Interest had accrued on the notes from May 26, 2016 and was paid in cash on May 26 of each year. The net proceeds from this offering, after deducting underwriter discounts and commissions and estimated offering expenses, were €535 million ($600 million). We used the net proceeds of this offering to repay a portion of the previous 1-year term loan facility, which matured in 2016, and related accrued interest. In May 2022, the 2022 senior notes were repaid in full using the net proceeds from the 2027 senior notes offering discussed above.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5.750% senior notes due 2021</w:t>
      </w:r>
    </w:p>
    <w:p>
      <w:pPr>
        <w:spacing w:after="0" w:line="173"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In March 2011, the Company issued $500 million of 5.750% senior notes due 2021. The effective interest rate of these senior notes was 5.871%, which included the impact of the discount upon issuance. The proceeds were used to repurchase and redeem other previously-issued senior notes. In March 2021, the senior notes matured, and the Company repaid the principal and interest using cash on-hand.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One-year Term Loan Commitment</w:t>
      </w:r>
    </w:p>
    <w:p>
      <w:pPr>
        <w:spacing w:after="0" w:line="173"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As part of the acquisition of TRANZACT, the Company secured financing of up to $1.1 billion in the form of a one-year unsecured term loan. Borrowing occurred in conjunction with the closing of the acquisition on July 30, 2019.</w:t>
      </w:r>
    </w:p>
    <w:p>
      <w:pPr>
        <w:spacing w:after="0" w:line="10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Amounts outstanding under the term loan bore interest, at the option of the borrowers, at a rate equal to (a) LIBOR plus 0.75% to 1.375% for Eurocurrency Rate Loans or (b) the highest of (i) the Federal Funds Rate plus 0.5%, (ii) the ‘prime rate’ quoted by Bank of America, N.A., and (iii) LIBOR plus 1.00%, plus 0.00% to 0.375%, in each case, based upon the Company’s guaranteed senior-unsecured long-term debt rating. In addition, the Company paid a commitment fee in an amount equal to 0.15% per annum on the undrawn portion of the commitments in respect of the term loan, which we had accrued from May 29, 2019 until the closing date of the acquisition.</w:t>
      </w:r>
    </w:p>
    <w:p>
      <w:pPr>
        <w:spacing w:after="0" w:line="128"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8"/>
          <w:szCs w:val="18"/>
          <w:color w:val="auto"/>
        </w:rPr>
        <w:t>The term loan was pre-payable in part or in full prior to the maturity date at the Company’s discretion. Covenants and events of default were substantively the same as in our existing revolving credit facility. The remaining outstanding balance on the term loan was repaid in full upon issuance of the additional 2029 senior notes discussed above.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i w:val="1"/>
          <w:iCs w:val="1"/>
          <w:color w:val="auto"/>
        </w:rPr>
        <w:t>Collateralized Facility</w:t>
      </w:r>
    </w:p>
    <w:p>
      <w:pPr>
        <w:spacing w:after="0" w:line="173"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As part of the acquisition of TRANZACT, the Company assumed debt of $91 million related to borrowings by TRANZACT whereby certain renewal commissions receivables were pledged as collateral. The Company was required to remit cash received from these pledged renewal commissions receivables on a quarterly basis to the lenders until the borrowings and related interest were repaid, after the payment of certain fees and other permitted distributions. No additional borrowings were made against this collateralized facility since the acquisition. Per the terms of the collateralized facility and specific approvals having been obtained, in November 2021 the Company repaid in full $32 million of principal and interest outstanding using cash on-hand, and the facility was subsequently closed. Prior to this repayment, cash received for the renewal commissions receivables had been classified as restricted cash on our consolidated balance sheet.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terms of our current financings also include certain limitations. For example, the agreements relating to the debt arrangements and credit facilities generally contain numerous operating and financial covenants, including requirements to maintain minimum ratios of consolidated EBITDA to consolidated cash interest expense and maximum levels of consolidated funded indebtedness in relation to consolidated EBITDA, in each case subject to certain adjustments. The operating restrictions and financial covenants in our current credit facilities do, and any future financing agreements may, limit our ability to finance future operations or capital needs or to engage in other business activities. At December 31, 2022 and 2021, we were in compliance with all financial covenants.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Maturity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maturity of our debt and interest on senior notes and excludes any reduction for debt issuance costs: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80" w:type="dxa"/>
            <w:vAlign w:val="bottom"/>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w w:val="92"/>
              </w:rPr>
              <w:t>2026</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w w:val="92"/>
              </w:rPr>
              <w:t>2027</w:t>
            </w:r>
          </w:p>
        </w:tc>
        <w:tc>
          <w:tcPr>
            <w:tcW w:w="120" w:type="dxa"/>
            <w:vAlign w:val="bottom"/>
          </w:tcPr>
          <w:p>
            <w:pPr>
              <w:spacing w:after="0"/>
              <w:rPr>
                <w:sz w:val="16"/>
                <w:szCs w:val="16"/>
                <w:color w:val="auto"/>
              </w:rPr>
            </w:pPr>
          </w:p>
        </w:tc>
        <w:tc>
          <w:tcPr>
            <w:tcW w:w="9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6"/>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560" w:type="dxa"/>
            <w:vAlign w:val="bottom"/>
            <w:shd w:val="clear" w:color="auto" w:fill="CFF0FC"/>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250</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2,550</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4,750</w:t>
            </w:r>
          </w:p>
        </w:tc>
        <w:tc>
          <w:tcPr>
            <w:tcW w:w="0" w:type="dxa"/>
            <w:vAlign w:val="bottom"/>
          </w:tcPr>
          <w:p>
            <w:pPr>
              <w:spacing w:after="0"/>
              <w:rPr>
                <w:sz w:val="1"/>
                <w:szCs w:val="1"/>
                <w:color w:val="auto"/>
              </w:rPr>
            </w:pPr>
          </w:p>
        </w:tc>
      </w:tr>
      <w:tr>
        <w:trPr>
          <w:trHeight w:val="238"/>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on senior notes</w:t>
            </w:r>
          </w:p>
        </w:tc>
        <w:tc>
          <w:tcPr>
            <w:tcW w:w="560" w:type="dxa"/>
            <w:vAlign w:val="bottom"/>
          </w:tcPr>
          <w:p>
            <w:pPr>
              <w:spacing w:after="0"/>
              <w:rPr>
                <w:sz w:val="20"/>
                <w:szCs w:val="20"/>
                <w:color w:val="auto"/>
              </w:rPr>
            </w:pP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196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2,006</w:t>
            </w:r>
          </w:p>
        </w:tc>
        <w:tc>
          <w:tcPr>
            <w:tcW w:w="0" w:type="dxa"/>
            <w:vAlign w:val="bottom"/>
          </w:tcPr>
          <w:p>
            <w:pPr>
              <w:spacing w:after="0"/>
              <w:rPr>
                <w:sz w:val="1"/>
                <w:szCs w:val="1"/>
                <w:color w:val="auto"/>
              </w:rPr>
            </w:pPr>
          </w:p>
        </w:tc>
      </w:tr>
      <w:tr>
        <w:trPr>
          <w:trHeight w:val="243"/>
        </w:trPr>
        <w:tc>
          <w:tcPr>
            <w:tcW w:w="3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$1.5 billion credit facility</w:t>
            </w:r>
          </w:p>
        </w:tc>
        <w:tc>
          <w:tcPr>
            <w:tcW w:w="56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446</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824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166</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46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873</w:t>
            </w:r>
          </w:p>
        </w:tc>
        <w:tc>
          <w:tcPr>
            <w:tcW w:w="48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3,750</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6,756</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39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500" w:type="dxa"/>
            <w:vAlign w:val="bottom"/>
            <w:gridSpan w:val="18"/>
          </w:tcPr>
          <w:p>
            <w:pPr>
              <w:spacing w:after="0"/>
              <w:rPr>
                <w:sz w:val="20"/>
                <w:szCs w:val="20"/>
                <w:color w:val="auto"/>
              </w:rPr>
            </w:pPr>
            <w:r>
              <w:rPr>
                <w:rFonts w:ascii="Times New Roman" w:cs="Times New Roman" w:eastAsia="Times New Roman" w:hAnsi="Times New Roman"/>
                <w:sz w:val="18"/>
                <w:szCs w:val="18"/>
                <w:color w:val="auto"/>
                <w:w w:val="99"/>
              </w:rPr>
              <w:t>The following table shows an analysis of the interest expense for the years ended December 31, 2022, 2021 and 2020:</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3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10"/>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6"/>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5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40" w:type="dxa"/>
            <w:vAlign w:val="bottom"/>
            <w:shd w:val="clear" w:color="auto" w:fill="CFF0FC"/>
          </w:tcPr>
          <w:p>
            <w:pPr>
              <w:spacing w:after="0"/>
              <w:rPr>
                <w:sz w:val="20"/>
                <w:szCs w:val="20"/>
                <w:color w:val="auto"/>
              </w:rPr>
            </w:pPr>
          </w:p>
        </w:tc>
        <w:tc>
          <w:tcPr>
            <w:tcW w:w="180" w:type="dxa"/>
            <w:vAlign w:val="bottom"/>
            <w:gridSpan w:val="3"/>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38"/>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loans</w:t>
            </w: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7"/>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5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8"/>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Collateralized facility</w:t>
            </w: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7"/>
        </w:trPr>
        <w:tc>
          <w:tcPr>
            <w:tcW w:w="3980" w:type="dxa"/>
            <w:vAlign w:val="bottom"/>
            <w:tcBorders>
              <w:bottom w:val="single" w:sz="8" w:color="CFF0FC"/>
            </w:tcBorders>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(i)</w:t>
            </w:r>
          </w:p>
        </w:tc>
        <w:tc>
          <w:tcPr>
            <w:tcW w:w="5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Borders>
              <w:bottom w:val="single" w:sz="8" w:color="auto"/>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2"/>
        </w:trPr>
        <w:tc>
          <w:tcPr>
            <w:tcW w:w="3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interest expense</w:t>
            </w: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46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4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211</w:t>
            </w:r>
          </w:p>
        </w:tc>
        <w:tc>
          <w:tcPr>
            <w:tcW w:w="5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3138805</wp:posOffset>
            </wp:positionH>
            <wp:positionV relativeFrom="paragraph">
              <wp:posOffset>-2011680</wp:posOffset>
            </wp:positionV>
            <wp:extent cx="76835" cy="18859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-2011680</wp:posOffset>
            </wp:positionV>
            <wp:extent cx="76835" cy="18859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-2011680</wp:posOffset>
            </wp:positionV>
            <wp:extent cx="68580" cy="18859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-2011680</wp:posOffset>
            </wp:positionV>
            <wp:extent cx="68580" cy="18859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-2011680</wp:posOffset>
            </wp:positionV>
            <wp:extent cx="68580" cy="18859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6478270</wp:posOffset>
            </wp:positionH>
            <wp:positionV relativeFrom="paragraph">
              <wp:posOffset>-2011680</wp:posOffset>
            </wp:positionV>
            <wp:extent cx="68580" cy="18859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-187960</wp:posOffset>
            </wp:positionV>
            <wp:extent cx="102870" cy="18859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-187960</wp:posOffset>
            </wp:positionV>
            <wp:extent cx="93980" cy="18859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95059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Other primarily includes interest expense on finance leases and accretion on deferred and contingent consideration.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Fair Value Measurements</w:t>
      </w:r>
    </w:p>
    <w:p>
      <w:pPr>
        <w:spacing w:after="0" w:line="175"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The Company has categorized its assets and liabilities that are measured at fair value on a recurring and non-recurring basis into a three-level fair value hierarchy, based on the reliability of the inputs used to determine fair value as follows:</w:t>
      </w:r>
    </w:p>
    <w:p>
      <w:pPr>
        <w:spacing w:after="0" w:line="55" w:lineRule="exact"/>
        <w:rPr>
          <w:sz w:val="20"/>
          <w:szCs w:val="20"/>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refers to fair values determined based on quoted market prices in active markets for identical assets;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refers to fair values estimated using observable market-based inputs or unobservable inputs that are corroborated by market data;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includes fair values estimated using unobservable inputs that are not corroborated by market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by the Company in estimating its fair value disclosure for financial instruments:</w:t>
      </w:r>
    </w:p>
    <w:p>
      <w:pPr>
        <w:spacing w:after="0" w:line="117" w:lineRule="exact"/>
        <w:rPr>
          <w:sz w:val="20"/>
          <w:szCs w:val="20"/>
          <w:color w:val="auto"/>
        </w:rPr>
      </w:pPr>
    </w:p>
    <w:p>
      <w:pPr>
        <w:ind w:left="760" w:right="20" w:hanging="378"/>
        <w:spacing w:after="0" w:line="281" w:lineRule="auto"/>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Available-for-sale securities are classified as Level 1 because we use quoted market prices in active markets in determining the fair value of these securities.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06" w:name="page107"/>
    <w:bookmarkEnd w:id="106"/>
    <w:p>
      <w:pPr>
        <w:ind w:left="760" w:right="80" w:hanging="378"/>
        <w:spacing w:after="0" w:line="265" w:lineRule="auto"/>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values for our derivative instruments have been used to determine the fair values of forward foreign exchange contracts based on estimated amounts the Company would receive or have to pay to terminate the agreements, taking into account observable information about the current foreign currency forward rates. Such financial instruments are classified as Level 2 in the fair value hierarchy.</w:t>
      </w:r>
    </w:p>
    <w:p>
      <w:pPr>
        <w:spacing w:after="0" w:line="69" w:lineRule="exact"/>
        <w:rPr>
          <w:rFonts w:ascii="Times New Roman" w:cs="Times New Roman" w:eastAsia="Times New Roman" w:hAnsi="Times New Roman"/>
          <w:sz w:val="18"/>
          <w:szCs w:val="18"/>
          <w:color w:val="auto"/>
        </w:rPr>
      </w:pPr>
    </w:p>
    <w:p>
      <w:pPr>
        <w:ind w:left="760" w:right="60" w:hanging="378"/>
        <w:spacing w:after="0" w:line="260" w:lineRule="auto"/>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consideration payable is classified as Level 3, and we estimate fair value based on the likelihood and timing of achieving the relevant milestones of each arrangement, applying a probability assessment to each of the potential outcomes, which at times includes the use of a Monte Carlo simulation and discounting the probability-weighted payout. Typically, milestones are based on revenue or earnings growth for the acquired business.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our assets and liabilities measured at fair value on a recurring basis at December 31, 2022 and December 31, 2021: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60" w:type="dxa"/>
            <w:vAlign w:val="bottom"/>
            <w:gridSpan w:val="9"/>
          </w:tcPr>
          <w:p>
            <w:pPr>
              <w:jc w:val="center"/>
              <w:ind w:left="495"/>
              <w:spacing w:after="0"/>
              <w:rPr>
                <w:sz w:val="20"/>
                <w:szCs w:val="20"/>
                <w:color w:val="auto"/>
              </w:rPr>
            </w:pPr>
            <w:r>
              <w:rPr>
                <w:rFonts w:ascii="Times New Roman" w:cs="Times New Roman" w:eastAsia="Times New Roman" w:hAnsi="Times New Roman"/>
                <w:sz w:val="14"/>
                <w:szCs w:val="14"/>
                <w:b w:val="1"/>
                <w:bCs w:val="1"/>
                <w:color w:val="auto"/>
              </w:rPr>
              <w:t>Fair Value Measurements on a Recurring Basis at</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2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298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00" w:type="dxa"/>
            <w:vAlign w:val="bottom"/>
          </w:tcPr>
          <w:p>
            <w:pPr>
              <w:spacing w:after="0"/>
              <w:rPr>
                <w:sz w:val="19"/>
                <w:szCs w:val="19"/>
                <w:color w:val="auto"/>
              </w:rPr>
            </w:pPr>
          </w:p>
        </w:tc>
        <w:tc>
          <w:tcPr>
            <w:tcW w:w="9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4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Available-for-sale securities:</w:t>
            </w:r>
          </w:p>
        </w:tc>
        <w:tc>
          <w:tcPr>
            <w:tcW w:w="2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Mutual funds / exchange traded funds</w:t>
            </w:r>
          </w:p>
        </w:tc>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Prepaid and other current assets and</w:t>
            </w:r>
          </w:p>
        </w:tc>
        <w:tc>
          <w:tcPr>
            <w:tcW w:w="20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3280" w:type="dxa"/>
            <w:vAlign w:val="bottom"/>
            <w:shd w:val="clear" w:color="auto" w:fill="CFF0FC"/>
          </w:tcPr>
          <w:p>
            <w:pPr>
              <w:spacing w:after="0"/>
              <w:rPr>
                <w:sz w:val="19"/>
                <w:szCs w:val="19"/>
                <w:color w:val="auto"/>
              </w:rPr>
            </w:pPr>
          </w:p>
        </w:tc>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00" w:type="dxa"/>
            <w:vAlign w:val="bottom"/>
            <w:vMerge w:val="continue"/>
            <w:shd w:val="clear" w:color="auto" w:fill="CFF0FC"/>
          </w:tcPr>
          <w:p>
            <w:pPr>
              <w:spacing w:after="0"/>
              <w:rPr>
                <w:sz w:val="19"/>
                <w:szCs w:val="19"/>
                <w:color w:val="auto"/>
              </w:rPr>
            </w:pPr>
          </w:p>
        </w:tc>
        <w:tc>
          <w:tcPr>
            <w:tcW w:w="980" w:type="dxa"/>
            <w:vAlign w:val="bottom"/>
            <w:vMerge w:val="continue"/>
            <w:shd w:val="clear" w:color="auto" w:fill="CFF0FC"/>
          </w:tcPr>
          <w:p>
            <w:pPr>
              <w:spacing w:after="0"/>
              <w:rPr>
                <w:sz w:val="19"/>
                <w:szCs w:val="19"/>
                <w:color w:val="auto"/>
              </w:rPr>
            </w:pPr>
          </w:p>
        </w:tc>
        <w:tc>
          <w:tcPr>
            <w:tcW w:w="320" w:type="dxa"/>
            <w:vAlign w:val="bottom"/>
            <w:gridSpan w:val="2"/>
            <w:vMerge w:val="continue"/>
            <w:shd w:val="clear" w:color="auto" w:fill="CFF0FC"/>
          </w:tcPr>
          <w:p>
            <w:pPr>
              <w:spacing w:after="0"/>
              <w:rPr>
                <w:sz w:val="19"/>
                <w:szCs w:val="19"/>
                <w:color w:val="auto"/>
              </w:rPr>
            </w:pPr>
          </w:p>
        </w:tc>
        <w:tc>
          <w:tcPr>
            <w:tcW w:w="940" w:type="dxa"/>
            <w:vAlign w:val="bottom"/>
            <w:vMerge w:val="continue"/>
            <w:shd w:val="clear" w:color="auto" w:fill="CFF0FC"/>
          </w:tcPr>
          <w:p>
            <w:pPr>
              <w:spacing w:after="0"/>
              <w:rPr>
                <w:sz w:val="19"/>
                <w:szCs w:val="19"/>
                <w:color w:val="auto"/>
              </w:rPr>
            </w:pPr>
          </w:p>
        </w:tc>
        <w:tc>
          <w:tcPr>
            <w:tcW w:w="320" w:type="dxa"/>
            <w:vAlign w:val="bottom"/>
            <w:gridSpan w:val="2"/>
            <w:vMerge w:val="continue"/>
            <w:shd w:val="clear" w:color="auto" w:fill="CFF0FC"/>
          </w:tcPr>
          <w:p>
            <w:pPr>
              <w:spacing w:after="0"/>
              <w:rPr>
                <w:sz w:val="19"/>
                <w:szCs w:val="19"/>
                <w:color w:val="auto"/>
              </w:rPr>
            </w:pPr>
          </w:p>
        </w:tc>
        <w:tc>
          <w:tcPr>
            <w:tcW w:w="920" w:type="dxa"/>
            <w:vAlign w:val="bottom"/>
            <w:vMerge w:val="continue"/>
            <w:shd w:val="clear" w:color="auto" w:fill="CFF0FC"/>
          </w:tcPr>
          <w:p>
            <w:pPr>
              <w:spacing w:after="0"/>
              <w:rPr>
                <w:sz w:val="19"/>
                <w:szCs w:val="19"/>
                <w:color w:val="auto"/>
              </w:rPr>
            </w:pPr>
          </w:p>
        </w:tc>
        <w:tc>
          <w:tcPr>
            <w:tcW w:w="380" w:type="dxa"/>
            <w:vAlign w:val="bottom"/>
            <w:gridSpan w:val="2"/>
            <w:vMerge w:val="continue"/>
            <w:shd w:val="clear" w:color="auto" w:fill="CFF0FC"/>
          </w:tcPr>
          <w:p>
            <w:pPr>
              <w:spacing w:after="0"/>
              <w:rPr>
                <w:sz w:val="19"/>
                <w:szCs w:val="19"/>
                <w:color w:val="auto"/>
              </w:rPr>
            </w:pPr>
          </w:p>
        </w:tc>
        <w:tc>
          <w:tcPr>
            <w:tcW w:w="92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Fiduciary assets</w:t>
            </w:r>
          </w:p>
        </w:tc>
        <w:tc>
          <w:tcPr>
            <w:tcW w:w="200" w:type="dxa"/>
            <w:vAlign w:val="bottom"/>
          </w:tcPr>
          <w:p>
            <w:pPr>
              <w:spacing w:after="0"/>
              <w:rPr>
                <w:sz w:val="20"/>
                <w:szCs w:val="20"/>
                <w:color w:val="auto"/>
              </w:rPr>
            </w:pP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34"/>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i w:val="1"/>
                <w:iCs w:val="1"/>
                <w:color w:val="auto"/>
              </w:rPr>
              <w:t>Derivatives:</w:t>
            </w:r>
          </w:p>
        </w:tc>
        <w:tc>
          <w:tcPr>
            <w:tcW w:w="28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200"/>
              <w:spacing w:after="0" w:line="202" w:lineRule="exact"/>
              <w:rPr>
                <w:sz w:val="20"/>
                <w:szCs w:val="20"/>
                <w:color w:val="auto"/>
              </w:rPr>
            </w:pPr>
            <w:r>
              <w:rPr>
                <w:rFonts w:ascii="Times New Roman" w:cs="Times New Roman" w:eastAsia="Times New Roman" w:hAnsi="Times New Roman"/>
                <w:sz w:val="16"/>
                <w:szCs w:val="16"/>
                <w:color w:val="auto"/>
              </w:rPr>
              <w:t xml:space="preserve">Derivative financial instruments </w:t>
            </w:r>
            <w:r>
              <w:rPr>
                <w:rFonts w:ascii="Times New Roman" w:cs="Times New Roman" w:eastAsia="Times New Roman" w:hAnsi="Times New Roman"/>
                <w:sz w:val="21"/>
                <w:szCs w:val="21"/>
                <w:color w:val="auto"/>
                <w:vertAlign w:val="superscript"/>
              </w:rPr>
              <w:t>(i)</w:t>
            </w: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Prepaid and other current assets and</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0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8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Contingent consideration:</w:t>
            </w:r>
          </w:p>
        </w:tc>
        <w:tc>
          <w:tcPr>
            <w:tcW w:w="2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FF0FC"/>
          </w:tcPr>
          <w:p>
            <w:pPr>
              <w:ind w:left="200"/>
              <w:spacing w:after="0" w:line="211" w:lineRule="exact"/>
              <w:rPr>
                <w:sz w:val="20"/>
                <w:szCs w:val="20"/>
                <w:color w:val="auto"/>
              </w:rPr>
            </w:pPr>
            <w:r>
              <w:rPr>
                <w:rFonts w:ascii="Times New Roman" w:cs="Times New Roman" w:eastAsia="Times New Roman" w:hAnsi="Times New Roman"/>
                <w:sz w:val="16"/>
                <w:szCs w:val="16"/>
                <w:color w:val="auto"/>
              </w:rPr>
              <w:t xml:space="preserve">Contingent consideration </w:t>
            </w:r>
            <w:r>
              <w:rPr>
                <w:rFonts w:ascii="Times New Roman" w:cs="Times New Roman" w:eastAsia="Times New Roman" w:hAnsi="Times New Roman"/>
                <w:sz w:val="21"/>
                <w:szCs w:val="21"/>
                <w:color w:val="auto"/>
                <w:vertAlign w:val="superscript"/>
              </w:rPr>
              <w:t>(ii) (iii)</w:t>
            </w:r>
          </w:p>
        </w:tc>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current liabilities and</w:t>
            </w:r>
          </w:p>
        </w:tc>
        <w:tc>
          <w:tcPr>
            <w:tcW w:w="20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40</w:t>
            </w:r>
          </w:p>
        </w:tc>
        <w:tc>
          <w:tcPr>
            <w:tcW w:w="3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3280" w:type="dxa"/>
            <w:vAlign w:val="bottom"/>
            <w:shd w:val="clear" w:color="auto" w:fill="CFF0FC"/>
          </w:tcPr>
          <w:p>
            <w:pPr>
              <w:spacing w:after="0"/>
              <w:rPr>
                <w:sz w:val="19"/>
                <w:szCs w:val="19"/>
                <w:color w:val="auto"/>
              </w:rPr>
            </w:pPr>
          </w:p>
        </w:tc>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0" w:type="dxa"/>
            <w:vAlign w:val="bottom"/>
            <w:vMerge w:val="continue"/>
            <w:shd w:val="clear" w:color="auto" w:fill="CFF0FC"/>
          </w:tcPr>
          <w:p>
            <w:pPr>
              <w:spacing w:after="0"/>
              <w:rPr>
                <w:sz w:val="19"/>
                <w:szCs w:val="19"/>
                <w:color w:val="auto"/>
              </w:rPr>
            </w:pPr>
          </w:p>
        </w:tc>
        <w:tc>
          <w:tcPr>
            <w:tcW w:w="980" w:type="dxa"/>
            <w:vAlign w:val="bottom"/>
            <w:vMerge w:val="continue"/>
            <w:shd w:val="clear" w:color="auto" w:fill="CFF0FC"/>
          </w:tcPr>
          <w:p>
            <w:pPr>
              <w:spacing w:after="0"/>
              <w:rPr>
                <w:sz w:val="19"/>
                <w:szCs w:val="19"/>
                <w:color w:val="auto"/>
              </w:rPr>
            </w:pPr>
          </w:p>
        </w:tc>
        <w:tc>
          <w:tcPr>
            <w:tcW w:w="320" w:type="dxa"/>
            <w:vAlign w:val="bottom"/>
            <w:gridSpan w:val="2"/>
            <w:vMerge w:val="continue"/>
            <w:shd w:val="clear" w:color="auto" w:fill="CFF0FC"/>
          </w:tcPr>
          <w:p>
            <w:pPr>
              <w:spacing w:after="0"/>
              <w:rPr>
                <w:sz w:val="19"/>
                <w:szCs w:val="19"/>
                <w:color w:val="auto"/>
              </w:rPr>
            </w:pPr>
          </w:p>
        </w:tc>
        <w:tc>
          <w:tcPr>
            <w:tcW w:w="940" w:type="dxa"/>
            <w:vAlign w:val="bottom"/>
            <w:vMerge w:val="continue"/>
            <w:shd w:val="clear" w:color="auto" w:fill="CFF0FC"/>
          </w:tcPr>
          <w:p>
            <w:pPr>
              <w:spacing w:after="0"/>
              <w:rPr>
                <w:sz w:val="19"/>
                <w:szCs w:val="19"/>
                <w:color w:val="auto"/>
              </w:rPr>
            </w:pPr>
          </w:p>
        </w:tc>
        <w:tc>
          <w:tcPr>
            <w:tcW w:w="320" w:type="dxa"/>
            <w:vAlign w:val="bottom"/>
            <w:gridSpan w:val="2"/>
            <w:vMerge w:val="continue"/>
            <w:shd w:val="clear" w:color="auto" w:fill="CFF0FC"/>
          </w:tcPr>
          <w:p>
            <w:pPr>
              <w:spacing w:after="0"/>
              <w:rPr>
                <w:sz w:val="19"/>
                <w:szCs w:val="19"/>
                <w:color w:val="auto"/>
              </w:rPr>
            </w:pPr>
          </w:p>
        </w:tc>
        <w:tc>
          <w:tcPr>
            <w:tcW w:w="920" w:type="dxa"/>
            <w:vAlign w:val="bottom"/>
            <w:vMerge w:val="continue"/>
            <w:shd w:val="clear" w:color="auto" w:fill="CFF0FC"/>
          </w:tcPr>
          <w:p>
            <w:pPr>
              <w:spacing w:after="0"/>
              <w:rPr>
                <w:sz w:val="19"/>
                <w:szCs w:val="19"/>
                <w:color w:val="auto"/>
              </w:rPr>
            </w:pPr>
          </w:p>
        </w:tc>
        <w:tc>
          <w:tcPr>
            <w:tcW w:w="380" w:type="dxa"/>
            <w:vAlign w:val="bottom"/>
            <w:gridSpan w:val="2"/>
            <w:vMerge w:val="continue"/>
            <w:shd w:val="clear" w:color="auto" w:fill="CFF0FC"/>
          </w:tcPr>
          <w:p>
            <w:pPr>
              <w:spacing w:after="0"/>
              <w:rPr>
                <w:sz w:val="19"/>
                <w:szCs w:val="19"/>
                <w:color w:val="auto"/>
              </w:rPr>
            </w:pPr>
          </w:p>
        </w:tc>
        <w:tc>
          <w:tcPr>
            <w:tcW w:w="92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Derivatives:</w:t>
            </w:r>
          </w:p>
        </w:tc>
        <w:tc>
          <w:tcPr>
            <w:tcW w:w="2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FF0FC"/>
          </w:tcPr>
          <w:p>
            <w:pPr>
              <w:ind w:left="200"/>
              <w:spacing w:after="0" w:line="211" w:lineRule="exact"/>
              <w:rPr>
                <w:sz w:val="20"/>
                <w:szCs w:val="20"/>
                <w:color w:val="auto"/>
              </w:rPr>
            </w:pPr>
            <w:r>
              <w:rPr>
                <w:rFonts w:ascii="Times New Roman" w:cs="Times New Roman" w:eastAsia="Times New Roman" w:hAnsi="Times New Roman"/>
                <w:sz w:val="16"/>
                <w:szCs w:val="16"/>
                <w:color w:val="auto"/>
              </w:rPr>
              <w:t xml:space="preserve">Derivative financial instruments </w:t>
            </w:r>
            <w:r>
              <w:rPr>
                <w:rFonts w:ascii="Times New Roman" w:cs="Times New Roman" w:eastAsia="Times New Roman" w:hAnsi="Times New Roman"/>
                <w:sz w:val="21"/>
                <w:szCs w:val="21"/>
                <w:color w:val="auto"/>
                <w:vertAlign w:val="superscript"/>
              </w:rPr>
              <w:t>(i)</w:t>
            </w:r>
          </w:p>
        </w:tc>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current liabilities and</w:t>
            </w:r>
          </w:p>
        </w:tc>
        <w:tc>
          <w:tcPr>
            <w:tcW w:w="20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3280" w:type="dxa"/>
            <w:vAlign w:val="bottom"/>
            <w:shd w:val="clear" w:color="auto" w:fill="CFF0FC"/>
          </w:tcPr>
          <w:p>
            <w:pPr>
              <w:spacing w:after="0"/>
              <w:rPr>
                <w:sz w:val="19"/>
                <w:szCs w:val="19"/>
                <w:color w:val="auto"/>
              </w:rPr>
            </w:pPr>
          </w:p>
        </w:tc>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0" w:type="dxa"/>
            <w:vAlign w:val="bottom"/>
            <w:vMerge w:val="continue"/>
            <w:shd w:val="clear" w:color="auto" w:fill="CFF0FC"/>
          </w:tcPr>
          <w:p>
            <w:pPr>
              <w:spacing w:after="0"/>
              <w:rPr>
                <w:sz w:val="19"/>
                <w:szCs w:val="19"/>
                <w:color w:val="auto"/>
              </w:rPr>
            </w:pPr>
          </w:p>
        </w:tc>
        <w:tc>
          <w:tcPr>
            <w:tcW w:w="980" w:type="dxa"/>
            <w:vAlign w:val="bottom"/>
            <w:vMerge w:val="continue"/>
            <w:shd w:val="clear" w:color="auto" w:fill="CFF0FC"/>
          </w:tcPr>
          <w:p>
            <w:pPr>
              <w:spacing w:after="0"/>
              <w:rPr>
                <w:sz w:val="19"/>
                <w:szCs w:val="19"/>
                <w:color w:val="auto"/>
              </w:rPr>
            </w:pPr>
          </w:p>
        </w:tc>
        <w:tc>
          <w:tcPr>
            <w:tcW w:w="320" w:type="dxa"/>
            <w:vAlign w:val="bottom"/>
            <w:gridSpan w:val="2"/>
            <w:vMerge w:val="continue"/>
            <w:shd w:val="clear" w:color="auto" w:fill="CFF0FC"/>
          </w:tcPr>
          <w:p>
            <w:pPr>
              <w:spacing w:after="0"/>
              <w:rPr>
                <w:sz w:val="19"/>
                <w:szCs w:val="19"/>
                <w:color w:val="auto"/>
              </w:rPr>
            </w:pPr>
          </w:p>
        </w:tc>
        <w:tc>
          <w:tcPr>
            <w:tcW w:w="940" w:type="dxa"/>
            <w:vAlign w:val="bottom"/>
            <w:vMerge w:val="continue"/>
            <w:shd w:val="clear" w:color="auto" w:fill="CFF0FC"/>
          </w:tcPr>
          <w:p>
            <w:pPr>
              <w:spacing w:after="0"/>
              <w:rPr>
                <w:sz w:val="19"/>
                <w:szCs w:val="19"/>
                <w:color w:val="auto"/>
              </w:rPr>
            </w:pPr>
          </w:p>
        </w:tc>
        <w:tc>
          <w:tcPr>
            <w:tcW w:w="320" w:type="dxa"/>
            <w:vAlign w:val="bottom"/>
            <w:gridSpan w:val="2"/>
            <w:vMerge w:val="continue"/>
            <w:shd w:val="clear" w:color="auto" w:fill="CFF0FC"/>
          </w:tcPr>
          <w:p>
            <w:pPr>
              <w:spacing w:after="0"/>
              <w:rPr>
                <w:sz w:val="19"/>
                <w:szCs w:val="19"/>
                <w:color w:val="auto"/>
              </w:rPr>
            </w:pPr>
          </w:p>
        </w:tc>
        <w:tc>
          <w:tcPr>
            <w:tcW w:w="920" w:type="dxa"/>
            <w:vAlign w:val="bottom"/>
            <w:vMerge w:val="continue"/>
            <w:shd w:val="clear" w:color="auto" w:fill="CFF0FC"/>
          </w:tcPr>
          <w:p>
            <w:pPr>
              <w:spacing w:after="0"/>
              <w:rPr>
                <w:sz w:val="19"/>
                <w:szCs w:val="19"/>
                <w:color w:val="auto"/>
              </w:rPr>
            </w:pPr>
          </w:p>
        </w:tc>
        <w:tc>
          <w:tcPr>
            <w:tcW w:w="380" w:type="dxa"/>
            <w:vAlign w:val="bottom"/>
            <w:gridSpan w:val="2"/>
            <w:vMerge w:val="continue"/>
            <w:shd w:val="clear" w:color="auto" w:fill="CFF0FC"/>
          </w:tcPr>
          <w:p>
            <w:pPr>
              <w:spacing w:after="0"/>
              <w:rPr>
                <w:sz w:val="19"/>
                <w:szCs w:val="19"/>
                <w:color w:val="auto"/>
              </w:rPr>
            </w:pPr>
          </w:p>
        </w:tc>
        <w:tc>
          <w:tcPr>
            <w:tcW w:w="92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39"/>
        </w:trPr>
        <w:tc>
          <w:tcPr>
            <w:tcW w:w="32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60" w:type="dxa"/>
            <w:vAlign w:val="bottom"/>
            <w:gridSpan w:val="9"/>
          </w:tcPr>
          <w:p>
            <w:pPr>
              <w:jc w:val="center"/>
              <w:ind w:left="495"/>
              <w:spacing w:after="0"/>
              <w:rPr>
                <w:sz w:val="20"/>
                <w:szCs w:val="20"/>
                <w:color w:val="auto"/>
              </w:rPr>
            </w:pPr>
            <w:r>
              <w:rPr>
                <w:rFonts w:ascii="Times New Roman" w:cs="Times New Roman" w:eastAsia="Times New Roman" w:hAnsi="Times New Roman"/>
                <w:sz w:val="14"/>
                <w:szCs w:val="14"/>
                <w:b w:val="1"/>
                <w:bCs w:val="1"/>
                <w:color w:val="auto"/>
              </w:rPr>
              <w:t>Fair Value Measurements on a Recurring Basis at</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2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298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00" w:type="dxa"/>
            <w:vAlign w:val="bottom"/>
          </w:tcPr>
          <w:p>
            <w:pPr>
              <w:spacing w:after="0"/>
              <w:rPr>
                <w:sz w:val="19"/>
                <w:szCs w:val="19"/>
                <w:color w:val="auto"/>
              </w:rPr>
            </w:pPr>
          </w:p>
        </w:tc>
        <w:tc>
          <w:tcPr>
            <w:tcW w:w="9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4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Available-for-sale securities:</w:t>
            </w:r>
          </w:p>
        </w:tc>
        <w:tc>
          <w:tcPr>
            <w:tcW w:w="2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Mutual funds / exchange traded funds</w:t>
            </w:r>
          </w:p>
        </w:tc>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Prepaid and other current assets and</w:t>
            </w:r>
          </w:p>
        </w:tc>
        <w:tc>
          <w:tcPr>
            <w:tcW w:w="20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3280" w:type="dxa"/>
            <w:vAlign w:val="bottom"/>
            <w:shd w:val="clear" w:color="auto" w:fill="CFF0FC"/>
          </w:tcPr>
          <w:p>
            <w:pPr>
              <w:spacing w:after="0"/>
              <w:rPr>
                <w:sz w:val="19"/>
                <w:szCs w:val="19"/>
                <w:color w:val="auto"/>
              </w:rPr>
            </w:pPr>
          </w:p>
        </w:tc>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00" w:type="dxa"/>
            <w:vAlign w:val="bottom"/>
            <w:vMerge w:val="continue"/>
            <w:shd w:val="clear" w:color="auto" w:fill="CFF0FC"/>
          </w:tcPr>
          <w:p>
            <w:pPr>
              <w:spacing w:after="0"/>
              <w:rPr>
                <w:sz w:val="19"/>
                <w:szCs w:val="19"/>
                <w:color w:val="auto"/>
              </w:rPr>
            </w:pPr>
          </w:p>
        </w:tc>
        <w:tc>
          <w:tcPr>
            <w:tcW w:w="980" w:type="dxa"/>
            <w:vAlign w:val="bottom"/>
            <w:vMerge w:val="continue"/>
            <w:shd w:val="clear" w:color="auto" w:fill="CFF0FC"/>
          </w:tcPr>
          <w:p>
            <w:pPr>
              <w:spacing w:after="0"/>
              <w:rPr>
                <w:sz w:val="19"/>
                <w:szCs w:val="19"/>
                <w:color w:val="auto"/>
              </w:rPr>
            </w:pPr>
          </w:p>
        </w:tc>
        <w:tc>
          <w:tcPr>
            <w:tcW w:w="320" w:type="dxa"/>
            <w:vAlign w:val="bottom"/>
            <w:gridSpan w:val="2"/>
            <w:vMerge w:val="continue"/>
            <w:shd w:val="clear" w:color="auto" w:fill="CFF0FC"/>
          </w:tcPr>
          <w:p>
            <w:pPr>
              <w:spacing w:after="0"/>
              <w:rPr>
                <w:sz w:val="19"/>
                <w:szCs w:val="19"/>
                <w:color w:val="auto"/>
              </w:rPr>
            </w:pPr>
          </w:p>
        </w:tc>
        <w:tc>
          <w:tcPr>
            <w:tcW w:w="940" w:type="dxa"/>
            <w:vAlign w:val="bottom"/>
            <w:vMerge w:val="continue"/>
            <w:shd w:val="clear" w:color="auto" w:fill="CFF0FC"/>
          </w:tcPr>
          <w:p>
            <w:pPr>
              <w:spacing w:after="0"/>
              <w:rPr>
                <w:sz w:val="19"/>
                <w:szCs w:val="19"/>
                <w:color w:val="auto"/>
              </w:rPr>
            </w:pPr>
          </w:p>
        </w:tc>
        <w:tc>
          <w:tcPr>
            <w:tcW w:w="320" w:type="dxa"/>
            <w:vAlign w:val="bottom"/>
            <w:gridSpan w:val="2"/>
            <w:vMerge w:val="continue"/>
            <w:shd w:val="clear" w:color="auto" w:fill="CFF0FC"/>
          </w:tcPr>
          <w:p>
            <w:pPr>
              <w:spacing w:after="0"/>
              <w:rPr>
                <w:sz w:val="19"/>
                <w:szCs w:val="19"/>
                <w:color w:val="auto"/>
              </w:rPr>
            </w:pPr>
          </w:p>
        </w:tc>
        <w:tc>
          <w:tcPr>
            <w:tcW w:w="920" w:type="dxa"/>
            <w:vAlign w:val="bottom"/>
            <w:vMerge w:val="continue"/>
            <w:shd w:val="clear" w:color="auto" w:fill="CFF0FC"/>
          </w:tcPr>
          <w:p>
            <w:pPr>
              <w:spacing w:after="0"/>
              <w:rPr>
                <w:sz w:val="19"/>
                <w:szCs w:val="19"/>
                <w:color w:val="auto"/>
              </w:rPr>
            </w:pPr>
          </w:p>
        </w:tc>
        <w:tc>
          <w:tcPr>
            <w:tcW w:w="380" w:type="dxa"/>
            <w:vAlign w:val="bottom"/>
            <w:gridSpan w:val="2"/>
            <w:vMerge w:val="continue"/>
            <w:shd w:val="clear" w:color="auto" w:fill="CFF0FC"/>
          </w:tcPr>
          <w:p>
            <w:pPr>
              <w:spacing w:after="0"/>
              <w:rPr>
                <w:sz w:val="19"/>
                <w:szCs w:val="19"/>
                <w:color w:val="auto"/>
              </w:rPr>
            </w:pPr>
          </w:p>
        </w:tc>
        <w:tc>
          <w:tcPr>
            <w:tcW w:w="92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Fiduciary assets</w:t>
            </w:r>
          </w:p>
        </w:tc>
        <w:tc>
          <w:tcPr>
            <w:tcW w:w="200" w:type="dxa"/>
            <w:vAlign w:val="bottom"/>
          </w:tcPr>
          <w:p>
            <w:pPr>
              <w:spacing w:after="0"/>
              <w:rPr>
                <w:sz w:val="20"/>
                <w:szCs w:val="20"/>
                <w:color w:val="auto"/>
              </w:rPr>
            </w:pP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47"/>
        </w:trPr>
        <w:tc>
          <w:tcPr>
            <w:tcW w:w="3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Certificates of deposit/term deposits</w:t>
            </w:r>
          </w:p>
        </w:tc>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1"/>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Derivatives:</w:t>
            </w:r>
          </w:p>
        </w:tc>
        <w:tc>
          <w:tcPr>
            <w:tcW w:w="2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FF0FC"/>
          </w:tcPr>
          <w:p>
            <w:pPr>
              <w:ind w:left="200"/>
              <w:spacing w:after="0" w:line="211" w:lineRule="exact"/>
              <w:rPr>
                <w:sz w:val="20"/>
                <w:szCs w:val="20"/>
                <w:color w:val="auto"/>
              </w:rPr>
            </w:pPr>
            <w:r>
              <w:rPr>
                <w:rFonts w:ascii="Times New Roman" w:cs="Times New Roman" w:eastAsia="Times New Roman" w:hAnsi="Times New Roman"/>
                <w:sz w:val="16"/>
                <w:szCs w:val="16"/>
                <w:color w:val="auto"/>
              </w:rPr>
              <w:t xml:space="preserve">Derivative financial instruments </w:t>
            </w:r>
            <w:r>
              <w:rPr>
                <w:rFonts w:ascii="Times New Roman" w:cs="Times New Roman" w:eastAsia="Times New Roman" w:hAnsi="Times New Roman"/>
                <w:sz w:val="21"/>
                <w:szCs w:val="21"/>
                <w:color w:val="auto"/>
                <w:vertAlign w:val="superscript"/>
              </w:rPr>
              <w:t>(i)</w:t>
            </w:r>
          </w:p>
        </w:tc>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Prepaid and other current assets and</w:t>
            </w:r>
          </w:p>
        </w:tc>
        <w:tc>
          <w:tcPr>
            <w:tcW w:w="20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3280" w:type="dxa"/>
            <w:vAlign w:val="bottom"/>
            <w:shd w:val="clear" w:color="auto" w:fill="CFF0FC"/>
          </w:tcPr>
          <w:p>
            <w:pPr>
              <w:spacing w:after="0"/>
              <w:rPr>
                <w:sz w:val="19"/>
                <w:szCs w:val="19"/>
                <w:color w:val="auto"/>
              </w:rPr>
            </w:pPr>
          </w:p>
        </w:tc>
        <w:tc>
          <w:tcPr>
            <w:tcW w:w="2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00" w:type="dxa"/>
            <w:vAlign w:val="bottom"/>
            <w:vMerge w:val="continue"/>
            <w:shd w:val="clear" w:color="auto" w:fill="CFF0FC"/>
          </w:tcPr>
          <w:p>
            <w:pPr>
              <w:spacing w:after="0"/>
              <w:rPr>
                <w:sz w:val="19"/>
                <w:szCs w:val="19"/>
                <w:color w:val="auto"/>
              </w:rPr>
            </w:pPr>
          </w:p>
        </w:tc>
        <w:tc>
          <w:tcPr>
            <w:tcW w:w="980" w:type="dxa"/>
            <w:vAlign w:val="bottom"/>
            <w:vMerge w:val="continue"/>
            <w:shd w:val="clear" w:color="auto" w:fill="CFF0FC"/>
          </w:tcPr>
          <w:p>
            <w:pPr>
              <w:spacing w:after="0"/>
              <w:rPr>
                <w:sz w:val="19"/>
                <w:szCs w:val="19"/>
                <w:color w:val="auto"/>
              </w:rPr>
            </w:pPr>
          </w:p>
        </w:tc>
        <w:tc>
          <w:tcPr>
            <w:tcW w:w="320" w:type="dxa"/>
            <w:vAlign w:val="bottom"/>
            <w:gridSpan w:val="2"/>
            <w:vMerge w:val="continue"/>
            <w:shd w:val="clear" w:color="auto" w:fill="CFF0FC"/>
          </w:tcPr>
          <w:p>
            <w:pPr>
              <w:spacing w:after="0"/>
              <w:rPr>
                <w:sz w:val="19"/>
                <w:szCs w:val="19"/>
                <w:color w:val="auto"/>
              </w:rPr>
            </w:pPr>
          </w:p>
        </w:tc>
        <w:tc>
          <w:tcPr>
            <w:tcW w:w="940" w:type="dxa"/>
            <w:vAlign w:val="bottom"/>
            <w:vMerge w:val="continue"/>
            <w:shd w:val="clear" w:color="auto" w:fill="CFF0FC"/>
          </w:tcPr>
          <w:p>
            <w:pPr>
              <w:spacing w:after="0"/>
              <w:rPr>
                <w:sz w:val="19"/>
                <w:szCs w:val="19"/>
                <w:color w:val="auto"/>
              </w:rPr>
            </w:pPr>
          </w:p>
        </w:tc>
        <w:tc>
          <w:tcPr>
            <w:tcW w:w="320" w:type="dxa"/>
            <w:vAlign w:val="bottom"/>
            <w:gridSpan w:val="2"/>
            <w:vMerge w:val="continue"/>
            <w:shd w:val="clear" w:color="auto" w:fill="CFF0FC"/>
          </w:tcPr>
          <w:p>
            <w:pPr>
              <w:spacing w:after="0"/>
              <w:rPr>
                <w:sz w:val="19"/>
                <w:szCs w:val="19"/>
                <w:color w:val="auto"/>
              </w:rPr>
            </w:pPr>
          </w:p>
        </w:tc>
        <w:tc>
          <w:tcPr>
            <w:tcW w:w="920" w:type="dxa"/>
            <w:vAlign w:val="bottom"/>
            <w:vMerge w:val="continue"/>
            <w:shd w:val="clear" w:color="auto" w:fill="CFF0FC"/>
          </w:tcPr>
          <w:p>
            <w:pPr>
              <w:spacing w:after="0"/>
              <w:rPr>
                <w:sz w:val="19"/>
                <w:szCs w:val="19"/>
                <w:color w:val="auto"/>
              </w:rPr>
            </w:pPr>
          </w:p>
        </w:tc>
        <w:tc>
          <w:tcPr>
            <w:tcW w:w="380" w:type="dxa"/>
            <w:vAlign w:val="bottom"/>
            <w:gridSpan w:val="2"/>
            <w:vMerge w:val="continue"/>
            <w:shd w:val="clear" w:color="auto" w:fill="CFF0FC"/>
          </w:tcPr>
          <w:p>
            <w:pPr>
              <w:spacing w:after="0"/>
              <w:rPr>
                <w:sz w:val="19"/>
                <w:szCs w:val="19"/>
                <w:color w:val="auto"/>
              </w:rPr>
            </w:pPr>
          </w:p>
        </w:tc>
        <w:tc>
          <w:tcPr>
            <w:tcW w:w="92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i w:val="1"/>
                <w:iCs w:val="1"/>
                <w:color w:val="auto"/>
              </w:rPr>
              <w:t>Contingent consideration:</w:t>
            </w:r>
          </w:p>
        </w:tc>
        <w:tc>
          <w:tcPr>
            <w:tcW w:w="28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200"/>
              <w:spacing w:after="0" w:line="202" w:lineRule="exact"/>
              <w:rPr>
                <w:sz w:val="20"/>
                <w:szCs w:val="20"/>
                <w:color w:val="auto"/>
              </w:rPr>
            </w:pPr>
            <w:r>
              <w:rPr>
                <w:rFonts w:ascii="Times New Roman" w:cs="Times New Roman" w:eastAsia="Times New Roman" w:hAnsi="Times New Roman"/>
                <w:sz w:val="16"/>
                <w:szCs w:val="16"/>
                <w:color w:val="auto"/>
              </w:rPr>
              <w:t xml:space="preserve">Contingent consideration </w:t>
            </w:r>
            <w:r>
              <w:rPr>
                <w:rFonts w:ascii="Times New Roman" w:cs="Times New Roman" w:eastAsia="Times New Roman" w:hAnsi="Times New Roman"/>
                <w:sz w:val="21"/>
                <w:szCs w:val="21"/>
                <w:color w:val="auto"/>
                <w:vertAlign w:val="superscript"/>
              </w:rPr>
              <w:t>(ii)</w:t>
            </w: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current liabilities and</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rPr>
              <w:t>51</w:t>
            </w: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i w:val="1"/>
                <w:iCs w:val="1"/>
                <w:color w:val="auto"/>
              </w:rPr>
              <w:t>Derivatives:</w:t>
            </w:r>
          </w:p>
        </w:tc>
        <w:tc>
          <w:tcPr>
            <w:tcW w:w="28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200"/>
              <w:spacing w:after="0" w:line="202" w:lineRule="exact"/>
              <w:rPr>
                <w:sz w:val="20"/>
                <w:szCs w:val="20"/>
                <w:color w:val="auto"/>
              </w:rPr>
            </w:pPr>
            <w:r>
              <w:rPr>
                <w:rFonts w:ascii="Times New Roman" w:cs="Times New Roman" w:eastAsia="Times New Roman" w:hAnsi="Times New Roman"/>
                <w:sz w:val="16"/>
                <w:szCs w:val="16"/>
                <w:color w:val="auto"/>
              </w:rPr>
              <w:t xml:space="preserve">Derivative financial instruments </w:t>
            </w:r>
            <w:r>
              <w:rPr>
                <w:rFonts w:ascii="Times New Roman" w:cs="Times New Roman" w:eastAsia="Times New Roman" w:hAnsi="Times New Roman"/>
                <w:sz w:val="21"/>
                <w:szCs w:val="21"/>
                <w:color w:val="auto"/>
                <w:vertAlign w:val="superscript"/>
              </w:rPr>
              <w:t>(i)</w:t>
            </w: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current liabilities and</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95059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40" w:lineRule="exact"/>
        <w:rPr>
          <w:sz w:val="20"/>
          <w:szCs w:val="20"/>
          <w:color w:val="auto"/>
        </w:rPr>
      </w:pPr>
    </w:p>
    <w:p>
      <w:pPr>
        <w:ind w:left="280" w:hanging="272"/>
        <w:spacing w:after="0"/>
        <w:tabs>
          <w:tab w:leader="none" w:pos="2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10 — Derivative Financial Instruments for further information on our derivative instruments.</w:t>
      </w:r>
    </w:p>
    <w:p>
      <w:pPr>
        <w:spacing w:after="0" w:line="27" w:lineRule="exact"/>
        <w:rPr>
          <w:rFonts w:ascii="Times New Roman" w:cs="Times New Roman" w:eastAsia="Times New Roman" w:hAnsi="Times New Roman"/>
          <w:sz w:val="14"/>
          <w:szCs w:val="14"/>
          <w:color w:val="auto"/>
        </w:rPr>
      </w:pPr>
    </w:p>
    <w:p>
      <w:pPr>
        <w:ind w:left="280" w:right="40" w:hanging="272"/>
        <w:spacing w:after="0" w:line="239" w:lineRule="auto"/>
        <w:tabs>
          <w:tab w:leader="none" w:pos="2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Probability weightings are based on our knowledge of the past and planned performance of the acquired entity to which the contingent consideration applies. The fair value weighted-average discount rates used in our material contingent consideration calculations were 10.26% and 11.92% at December 31, 2022 and December 31, 2021, respectively. The range of these discount rates was 3.53% - 13.80% at December 31, 2022. Using different probability weightings and discount rates could result in an increase or decrease of the contingent consideration payable.</w:t>
      </w:r>
    </w:p>
    <w:p>
      <w:pPr>
        <w:spacing w:after="0" w:line="1"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Consideration due to be paid across multiple years until 2027.</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color w:val="auto"/>
        </w:rPr>
        <w:t>The following table summarizes the change in fair value of the Level 3 liabilities: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Measurements Using Significant Unobservable Inputs (Level 3)</w:t>
            </w:r>
          </w:p>
        </w:tc>
        <w:tc>
          <w:tcPr>
            <w:tcW w:w="3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39"/>
        </w:trPr>
        <w:tc>
          <w:tcPr>
            <w:tcW w:w="8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51</w:t>
            </w:r>
          </w:p>
        </w:tc>
      </w:tr>
      <w:tr>
        <w:trPr>
          <w:trHeight w:val="238"/>
        </w:trPr>
        <w:tc>
          <w:tcPr>
            <w:tcW w:w="8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Obligations assumed</w:t>
            </w:r>
          </w:p>
        </w:tc>
        <w:tc>
          <w:tcPr>
            <w:tcW w:w="320" w:type="dxa"/>
            <w:vAlign w:val="bottom"/>
          </w:tcPr>
          <w:p>
            <w:pPr>
              <w:spacing w:after="0"/>
              <w:rPr>
                <w:sz w:val="20"/>
                <w:szCs w:val="20"/>
                <w:color w:val="auto"/>
              </w:rPr>
            </w:pPr>
          </w:p>
        </w:tc>
        <w:tc>
          <w:tcPr>
            <w:tcW w:w="2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r>
      <w:tr>
        <w:trPr>
          <w:trHeight w:val="247"/>
        </w:trPr>
        <w:tc>
          <w:tcPr>
            <w:tcW w:w="8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w:t>
            </w:r>
          </w:p>
        </w:tc>
        <w:tc>
          <w:tcPr>
            <w:tcW w:w="320" w:type="dxa"/>
            <w:vAlign w:val="bottom"/>
            <w:shd w:val="clear" w:color="auto" w:fill="CFF0FC"/>
          </w:tcPr>
          <w:p>
            <w:pPr>
              <w:spacing w:after="0"/>
              <w:rPr>
                <w:sz w:val="21"/>
                <w:szCs w:val="21"/>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43"/>
        </w:trPr>
        <w:tc>
          <w:tcPr>
            <w:tcW w:w="878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Realized and unrealized gains </w:t>
            </w:r>
            <w:r>
              <w:rPr>
                <w:rFonts w:ascii="Times New Roman" w:cs="Times New Roman" w:eastAsia="Times New Roman" w:hAnsi="Times New Roman"/>
                <w:sz w:val="24"/>
                <w:szCs w:val="24"/>
                <w:color w:val="auto"/>
                <w:vertAlign w:val="superscript"/>
              </w:rPr>
              <w:t>(i)</w:t>
            </w:r>
          </w:p>
        </w:tc>
        <w:tc>
          <w:tcPr>
            <w:tcW w:w="32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8"/>
        </w:trPr>
        <w:tc>
          <w:tcPr>
            <w:tcW w:w="8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exchange</w:t>
            </w:r>
          </w:p>
        </w:tc>
        <w:tc>
          <w:tcPr>
            <w:tcW w:w="320" w:type="dxa"/>
            <w:vAlign w:val="bottom"/>
            <w:tcBorders>
              <w:bottom w:val="single" w:sz="8" w:color="auto"/>
            </w:tcBorders>
            <w:shd w:val="clear" w:color="auto" w:fill="CFF0FC"/>
          </w:tcPr>
          <w:p>
            <w:pPr>
              <w:spacing w:after="0"/>
              <w:rPr>
                <w:sz w:val="20"/>
                <w:szCs w:val="20"/>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6"/>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8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95059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27" w:lineRule="exact"/>
        <w:rPr>
          <w:sz w:val="20"/>
          <w:szCs w:val="20"/>
          <w:color w:val="auto"/>
        </w:rPr>
      </w:pPr>
    </w:p>
    <w:p>
      <w:pPr>
        <w:ind w:left="280" w:right="740" w:hanging="272"/>
        <w:spacing w:after="0" w:line="258" w:lineRule="auto"/>
        <w:tabs>
          <w:tab w:leader="none" w:pos="2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Realized and unrealized losses include accretion and adjustments to contingent consideration liabilities, which are included within Interest expense and Other operating expenses, respectively, on the consolidated statements of comprehensive income.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transfers between Levels 1, 2 or 3 during the years ended December 31, 2022 and 2021.</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information about financial instruments not measured at fair value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our assets and liabilities not measured at fair value on a recurring basis at December 31, 2021 and 2020:</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4"/>
          </w:tcPr>
          <w:p>
            <w:pPr>
              <w:jc w:val="right"/>
              <w:ind w:right="674"/>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4"/>
          </w:tcPr>
          <w:p>
            <w:pPr>
              <w:jc w:val="right"/>
              <w:ind w:right="634"/>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00"/>
        </w:trPr>
        <w:tc>
          <w:tcPr>
            <w:tcW w:w="5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Fair</w:t>
            </w:r>
          </w:p>
        </w:tc>
      </w:tr>
      <w:tr>
        <w:trPr>
          <w:trHeight w:val="225"/>
        </w:trPr>
        <w:tc>
          <w:tcPr>
            <w:tcW w:w="5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243"/>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r>
      <w:tr>
        <w:trPr>
          <w:trHeight w:val="238"/>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note receivable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68</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63</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69</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70</w:t>
            </w:r>
          </w:p>
        </w:tc>
      </w:tr>
      <w:tr>
        <w:trPr>
          <w:trHeight w:val="24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r>
      <w:tr>
        <w:trPr>
          <w:trHeight w:val="238"/>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250</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248</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613</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616</w:t>
            </w:r>
          </w:p>
        </w:tc>
      </w:tr>
      <w:tr>
        <w:trPr>
          <w:trHeight w:val="247"/>
        </w:trPr>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4,471</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4,069</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3,974</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4,453</w:t>
            </w:r>
          </w:p>
        </w:tc>
      </w:tr>
    </w:tbl>
    <w:p>
      <w:pPr>
        <w:spacing w:after="0" w:line="184"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The carrying value of our revolving credit facility approximates its fair value. The fair values above, which exclude accrued interest, are not necessarily indicative of the amounts that the Company would realize upon disposition, nor do they indicate the Company’s intent or ability to dispose of the financial instruments. The fair values of our respective senior notes and long-term note receivable are considered Level 2 financial instruments as they are corroborated by observable market data.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Retirement Benefits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Plans</w:t>
      </w:r>
    </w:p>
    <w:p>
      <w:pPr>
        <w:spacing w:after="0" w:line="175"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WTW sponsors both qualified and non-qualified defined benefit pension plans throughout the world. The majority of our plan assets and obligations are in the U.S. and the U.K. We have also included disclosures related to defined benefit plans in certain other countries, including Canada, France, Germany, Switzerland and Ireland. Together, these disclosed funded and unfunded plans represent 98% of WTW’s pension obligations and are presented herein. We have removed prior period disclosures pertaining to our post-retirement welfare plans as the Company considers such disclosure to no longer be material.</w:t>
      </w:r>
    </w:p>
    <w:p>
      <w:pPr>
        <w:spacing w:after="0" w:line="128"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As part of these obligations, in the U.S., the U.K. and Canada, we have non-qualified plans that provide for the additional pension benefits that would be covered under the qualified plan in the respective country were it not for statutory maximums. The non-qualified plans are unfunded.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plans within each grouping are described below:</w:t>
      </w:r>
    </w:p>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United States</w:t>
      </w:r>
    </w:p>
    <w:p>
      <w:pPr>
        <w:spacing w:after="0" w:line="173" w:lineRule="exact"/>
        <w:rPr>
          <w:sz w:val="20"/>
          <w:szCs w:val="20"/>
          <w:color w:val="auto"/>
        </w:rPr>
      </w:pPr>
    </w:p>
    <w:p>
      <w:pPr>
        <w:ind w:left="760" w:right="40"/>
        <w:spacing w:after="0" w:line="281" w:lineRule="auto"/>
        <w:rPr>
          <w:sz w:val="20"/>
          <w:szCs w:val="20"/>
          <w:color w:val="auto"/>
        </w:rPr>
      </w:pPr>
      <w:r>
        <w:rPr>
          <w:rFonts w:ascii="Times New Roman" w:cs="Times New Roman" w:eastAsia="Times New Roman" w:hAnsi="Times New Roman"/>
          <w:sz w:val="18"/>
          <w:szCs w:val="18"/>
          <w:u w:val="single" w:color="auto"/>
          <w:color w:val="auto"/>
        </w:rPr>
        <w:t>Legacy Willis</w:t>
      </w:r>
      <w:r>
        <w:rPr>
          <w:rFonts w:ascii="Times New Roman" w:cs="Times New Roman" w:eastAsia="Times New Roman" w:hAnsi="Times New Roman"/>
          <w:sz w:val="18"/>
          <w:szCs w:val="18"/>
          <w:color w:val="auto"/>
        </w:rPr>
        <w:t xml:space="preserve"> – This plan was frozen in 2009. Approximately 600 WTW employees in the United States have a frozen accrued benefit under this plan.</w:t>
      </w:r>
    </w:p>
    <w:p>
      <w:pPr>
        <w:spacing w:after="0" w:line="109" w:lineRule="exact"/>
        <w:rPr>
          <w:sz w:val="20"/>
          <w:szCs w:val="20"/>
          <w:color w:val="auto"/>
        </w:rPr>
      </w:pPr>
    </w:p>
    <w:p>
      <w:pPr>
        <w:ind w:left="760" w:right="120"/>
        <w:spacing w:after="0" w:line="260" w:lineRule="auto"/>
        <w:rPr>
          <w:sz w:val="20"/>
          <w:szCs w:val="20"/>
          <w:color w:val="auto"/>
        </w:rPr>
      </w:pPr>
      <w:r>
        <w:rPr>
          <w:rFonts w:ascii="Times New Roman" w:cs="Times New Roman" w:eastAsia="Times New Roman" w:hAnsi="Times New Roman"/>
          <w:sz w:val="18"/>
          <w:szCs w:val="18"/>
          <w:u w:val="single" w:color="auto"/>
          <w:color w:val="auto"/>
        </w:rPr>
        <w:t>WTW Plan</w:t>
      </w:r>
      <w:r>
        <w:rPr>
          <w:rFonts w:ascii="Times New Roman" w:cs="Times New Roman" w:eastAsia="Times New Roman" w:hAnsi="Times New Roman"/>
          <w:sz w:val="18"/>
          <w:szCs w:val="18"/>
          <w:color w:val="auto"/>
        </w:rPr>
        <w:t xml:space="preserve"> – Substantially all U.S. employees are eligible to participate in this plan. Benefits are provided under a stable value pension plan design. The original stable value design came into effect on January 1, 2012. Plan participants prior to July 1, 2017 earn benefits without having to make employee contributions, and all newly-eligible employees after that date are required to contribute 2% of pay on an after-tax basis to participate in the plan.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i w:val="1"/>
          <w:iCs w:val="1"/>
          <w:color w:val="auto"/>
        </w:rPr>
        <w:t>United Kingdom</w:t>
      </w:r>
    </w:p>
    <w:p>
      <w:pPr>
        <w:spacing w:after="0" w:line="173" w:lineRule="exact"/>
        <w:rPr>
          <w:sz w:val="20"/>
          <w:szCs w:val="20"/>
          <w:color w:val="auto"/>
        </w:rPr>
      </w:pPr>
    </w:p>
    <w:p>
      <w:pPr>
        <w:ind w:left="360"/>
        <w:spacing w:after="0" w:line="281" w:lineRule="auto"/>
        <w:rPr>
          <w:sz w:val="20"/>
          <w:szCs w:val="20"/>
          <w:color w:val="auto"/>
        </w:rPr>
      </w:pPr>
      <w:r>
        <w:rPr>
          <w:rFonts w:ascii="Times New Roman" w:cs="Times New Roman" w:eastAsia="Times New Roman" w:hAnsi="Times New Roman"/>
          <w:sz w:val="18"/>
          <w:szCs w:val="18"/>
          <w:u w:val="single" w:color="auto"/>
          <w:color w:val="auto"/>
        </w:rPr>
        <w:t>Legacy Willis</w:t>
      </w:r>
      <w:r>
        <w:rPr>
          <w:rFonts w:ascii="Times New Roman" w:cs="Times New Roman" w:eastAsia="Times New Roman" w:hAnsi="Times New Roman"/>
          <w:sz w:val="18"/>
          <w:szCs w:val="18"/>
          <w:color w:val="auto"/>
        </w:rPr>
        <w:t xml:space="preserve"> – This plan covers approximately one-fifth of the Legacy Willis employees in the United Kingdom. The plan is now closed to new entrants. New employees in the United Kingdom are offered the opportunity to join a defined contribution plan.</w:t>
      </w:r>
    </w:p>
    <w:p>
      <w:pPr>
        <w:spacing w:after="0" w:line="109" w:lineRule="exact"/>
        <w:rPr>
          <w:sz w:val="20"/>
          <w:szCs w:val="20"/>
          <w:color w:val="auto"/>
        </w:rPr>
      </w:pPr>
    </w:p>
    <w:p>
      <w:pPr>
        <w:ind w:left="360" w:right="120"/>
        <w:spacing w:after="0" w:line="260" w:lineRule="auto"/>
        <w:rPr>
          <w:sz w:val="20"/>
          <w:szCs w:val="20"/>
          <w:color w:val="auto"/>
        </w:rPr>
      </w:pPr>
      <w:r>
        <w:rPr>
          <w:rFonts w:ascii="Times New Roman" w:cs="Times New Roman" w:eastAsia="Times New Roman" w:hAnsi="Times New Roman"/>
          <w:sz w:val="18"/>
          <w:szCs w:val="18"/>
          <w:u w:val="single" w:color="auto"/>
          <w:color w:val="auto"/>
        </w:rPr>
        <w:t>Legacy Towers Watson</w:t>
      </w:r>
      <w:r>
        <w:rPr>
          <w:rFonts w:ascii="Times New Roman" w:cs="Times New Roman" w:eastAsia="Times New Roman" w:hAnsi="Times New Roman"/>
          <w:sz w:val="18"/>
          <w:szCs w:val="18"/>
          <w:color w:val="auto"/>
        </w:rPr>
        <w:t xml:space="preserve"> – Benefit accruals earned under the Legacy Watson Wyatt defined benefit plan (predominantly pension benefits) ceased on February 28, 2015, although benefits earned prior to January 1, 2008 retain a link to salary until the employee leaves the Company. Benefit accruals earned under the legacy Towers Perrin defined benefit plan (predominantly lump sum benefits) were frozen on March 31, 2008. All participants now accrue defined contribution benefits.</w:t>
      </w:r>
    </w:p>
    <w:p>
      <w:pPr>
        <w:spacing w:after="0" w:line="128" w:lineRule="exact"/>
        <w:rPr>
          <w:sz w:val="20"/>
          <w:szCs w:val="20"/>
          <w:color w:val="auto"/>
        </w:rPr>
      </w:pPr>
    </w:p>
    <w:p>
      <w:pPr>
        <w:ind w:left="360"/>
        <w:spacing w:after="0" w:line="265" w:lineRule="auto"/>
        <w:rPr>
          <w:sz w:val="20"/>
          <w:szCs w:val="20"/>
          <w:color w:val="auto"/>
        </w:rPr>
      </w:pPr>
      <w:r>
        <w:rPr>
          <w:rFonts w:ascii="Times New Roman" w:cs="Times New Roman" w:eastAsia="Times New Roman" w:hAnsi="Times New Roman"/>
          <w:sz w:val="18"/>
          <w:szCs w:val="18"/>
          <w:u w:val="single" w:color="auto"/>
          <w:color w:val="auto"/>
        </w:rPr>
        <w:t>Legacy Miller</w:t>
      </w:r>
      <w:r>
        <w:rPr>
          <w:rFonts w:ascii="Times New Roman" w:cs="Times New Roman" w:eastAsia="Times New Roman" w:hAnsi="Times New Roman"/>
          <w:sz w:val="18"/>
          <w:szCs w:val="18"/>
          <w:color w:val="auto"/>
        </w:rPr>
        <w:t xml:space="preserve"> – This plan is no longer with WTW following the divestiture of its Miller business in March 2021 (see Note 3 — Acquisitions and Divestitures for further information). The plan provided retirement benefits based on members’ salaries at the point at which they ceased to accrue benefits under the scheme.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73" w:lineRule="exact"/>
        <w:rPr>
          <w:sz w:val="20"/>
          <w:szCs w:val="20"/>
          <w:color w:val="auto"/>
        </w:rPr>
      </w:pPr>
    </w:p>
    <w:p>
      <w:pPr>
        <w:ind w:left="360" w:right="160"/>
        <w:spacing w:after="0" w:line="281" w:lineRule="auto"/>
        <w:rPr>
          <w:sz w:val="20"/>
          <w:szCs w:val="20"/>
          <w:color w:val="auto"/>
        </w:rPr>
      </w:pPr>
      <w:r>
        <w:rPr>
          <w:rFonts w:ascii="Times New Roman" w:cs="Times New Roman" w:eastAsia="Times New Roman" w:hAnsi="Times New Roman"/>
          <w:sz w:val="18"/>
          <w:szCs w:val="18"/>
          <w:u w:val="single" w:color="auto"/>
          <w:color w:val="auto"/>
        </w:rPr>
        <w:t>Canada (WTW)</w:t>
      </w:r>
      <w:r>
        <w:rPr>
          <w:rFonts w:ascii="Times New Roman" w:cs="Times New Roman" w:eastAsia="Times New Roman" w:hAnsi="Times New Roman"/>
          <w:sz w:val="18"/>
          <w:szCs w:val="18"/>
          <w:color w:val="auto"/>
        </w:rPr>
        <w:t xml:space="preserve"> – Participants accrue qualified and non-qualified benefits based on a career-average benefit formula. Additionally, participants can choose to make voluntary contributions to purchase enhancements to their pension.</w:t>
      </w:r>
    </w:p>
    <w:p>
      <w:pPr>
        <w:spacing w:after="0" w:line="109" w:lineRule="exact"/>
        <w:rPr>
          <w:sz w:val="20"/>
          <w:szCs w:val="20"/>
          <w:color w:val="auto"/>
        </w:rPr>
      </w:pPr>
    </w:p>
    <w:p>
      <w:pPr>
        <w:ind w:left="360" w:right="40"/>
        <w:spacing w:after="0" w:line="265" w:lineRule="auto"/>
        <w:rPr>
          <w:sz w:val="20"/>
          <w:szCs w:val="20"/>
          <w:color w:val="auto"/>
        </w:rPr>
      </w:pPr>
      <w:r>
        <w:rPr>
          <w:rFonts w:ascii="Times New Roman" w:cs="Times New Roman" w:eastAsia="Times New Roman" w:hAnsi="Times New Roman"/>
          <w:sz w:val="18"/>
          <w:szCs w:val="18"/>
          <w:u w:val="single" w:color="auto"/>
          <w:color w:val="auto"/>
        </w:rPr>
        <w:t>France (legacy broking business)</w:t>
      </w:r>
      <w:r>
        <w:rPr>
          <w:rFonts w:ascii="Times New Roman" w:cs="Times New Roman" w:eastAsia="Times New Roman" w:hAnsi="Times New Roman"/>
          <w:sz w:val="18"/>
          <w:szCs w:val="18"/>
          <w:color w:val="auto"/>
        </w:rPr>
        <w:t xml:space="preserve"> – The mandatory retirement indemnity plan is a termination benefit which provides lump sum benefits at retirement. There is no vesting before the retirement date, and the benefit formula is determined through the collective bargaining agreement and the labor code. All employees with permanent employment contracts are eligible.</w:t>
      </w:r>
    </w:p>
    <w:p>
      <w:pPr>
        <w:spacing w:after="0" w:line="123" w:lineRule="exact"/>
        <w:rPr>
          <w:sz w:val="20"/>
          <w:szCs w:val="20"/>
          <w:color w:val="auto"/>
        </w:rPr>
      </w:pPr>
    </w:p>
    <w:p>
      <w:pPr>
        <w:ind w:left="360" w:right="20"/>
        <w:spacing w:after="0" w:line="265" w:lineRule="auto"/>
        <w:rPr>
          <w:sz w:val="20"/>
          <w:szCs w:val="20"/>
          <w:color w:val="auto"/>
        </w:rPr>
      </w:pPr>
      <w:r>
        <w:rPr>
          <w:rFonts w:ascii="Times New Roman" w:cs="Times New Roman" w:eastAsia="Times New Roman" w:hAnsi="Times New Roman"/>
          <w:sz w:val="18"/>
          <w:szCs w:val="18"/>
          <w:u w:val="single" w:color="auto"/>
          <w:color w:val="auto"/>
        </w:rPr>
        <w:t>Germany</w:t>
      </w:r>
      <w:r>
        <w:rPr>
          <w:rFonts w:ascii="Times New Roman" w:cs="Times New Roman" w:eastAsia="Times New Roman" w:hAnsi="Times New Roman"/>
          <w:sz w:val="18"/>
          <w:szCs w:val="18"/>
          <w:color w:val="auto"/>
        </w:rPr>
        <w:t xml:space="preserve"> – The defined benefit plans are closed to new entrants and include certain legacy employee populations hired before 2011. These benefits are primarily account-based, with some long-service participants continuing to accrue benefits according to grandfathered final-average-pay formulas.</w:t>
      </w:r>
    </w:p>
    <w:p>
      <w:pPr>
        <w:spacing w:after="0" w:line="123" w:lineRule="exact"/>
        <w:rPr>
          <w:sz w:val="20"/>
          <w:szCs w:val="20"/>
          <w:color w:val="auto"/>
        </w:rPr>
      </w:pPr>
    </w:p>
    <w:p>
      <w:pPr>
        <w:ind w:left="360" w:right="20"/>
        <w:spacing w:after="0" w:line="265" w:lineRule="auto"/>
        <w:rPr>
          <w:sz w:val="20"/>
          <w:szCs w:val="20"/>
          <w:color w:val="auto"/>
        </w:rPr>
      </w:pPr>
      <w:r>
        <w:rPr>
          <w:rFonts w:ascii="Times New Roman" w:cs="Times New Roman" w:eastAsia="Times New Roman" w:hAnsi="Times New Roman"/>
          <w:sz w:val="18"/>
          <w:szCs w:val="18"/>
          <w:u w:val="single" w:color="auto"/>
          <w:color w:val="auto"/>
        </w:rPr>
        <w:t>Ireland (Legacy Willis)</w:t>
      </w:r>
      <w:r>
        <w:rPr>
          <w:rFonts w:ascii="Times New Roman" w:cs="Times New Roman" w:eastAsia="Times New Roman" w:hAnsi="Times New Roman"/>
          <w:sz w:val="18"/>
          <w:szCs w:val="18"/>
          <w:color w:val="auto"/>
        </w:rPr>
        <w:t xml:space="preserve"> – Benefit accruals ceased effective from December 31, 2019; however accrued benefits for active employees are indexed to salary increases (to a maximum annual salary of €150,000) until the member leaves the Company. A future service retirement provision is being provided on a defined contribution basis.</w:t>
      </w:r>
    </w:p>
    <w:p>
      <w:pPr>
        <w:spacing w:after="0" w:line="123" w:lineRule="exact"/>
        <w:rPr>
          <w:sz w:val="20"/>
          <w:szCs w:val="20"/>
          <w:color w:val="auto"/>
        </w:rPr>
      </w:pPr>
    </w:p>
    <w:p>
      <w:pPr>
        <w:ind w:left="360" w:right="460"/>
        <w:spacing w:after="0" w:line="265" w:lineRule="auto"/>
        <w:rPr>
          <w:sz w:val="20"/>
          <w:szCs w:val="20"/>
          <w:color w:val="auto"/>
        </w:rPr>
      </w:pPr>
      <w:r>
        <w:rPr>
          <w:rFonts w:ascii="Times New Roman" w:cs="Times New Roman" w:eastAsia="Times New Roman" w:hAnsi="Times New Roman"/>
          <w:sz w:val="18"/>
          <w:szCs w:val="18"/>
          <w:u w:val="single" w:color="auto"/>
          <w:color w:val="auto"/>
        </w:rPr>
        <w:t>Ireland (Legacy Towers Watson)</w:t>
      </w:r>
      <w:r>
        <w:rPr>
          <w:rFonts w:ascii="Times New Roman" w:cs="Times New Roman" w:eastAsia="Times New Roman" w:hAnsi="Times New Roman"/>
          <w:sz w:val="18"/>
          <w:szCs w:val="18"/>
          <w:color w:val="auto"/>
        </w:rPr>
        <w:t xml:space="preserve"> – Benefit accruals ceased effective from May 1, 2015; however accrued benefits for active employees are indexed to salary increases (to a maximum annual salary of €160,000) until the member leaves the Company. A future service retirement provision is being provided on a defined contribution basis.</w:t>
      </w:r>
    </w:p>
    <w:p>
      <w:pPr>
        <w:spacing w:after="0" w:line="123" w:lineRule="exact"/>
        <w:rPr>
          <w:sz w:val="20"/>
          <w:szCs w:val="20"/>
          <w:color w:val="auto"/>
        </w:rPr>
      </w:pPr>
    </w:p>
    <w:p>
      <w:pPr>
        <w:ind w:left="360" w:right="200"/>
        <w:spacing w:after="0" w:line="265" w:lineRule="auto"/>
        <w:rPr>
          <w:sz w:val="20"/>
          <w:szCs w:val="20"/>
          <w:color w:val="auto"/>
        </w:rPr>
      </w:pPr>
      <w:r>
        <w:rPr>
          <w:rFonts w:ascii="Times New Roman" w:cs="Times New Roman" w:eastAsia="Times New Roman" w:hAnsi="Times New Roman"/>
          <w:sz w:val="18"/>
          <w:szCs w:val="18"/>
          <w:u w:val="single" w:color="auto"/>
          <w:color w:val="auto"/>
        </w:rPr>
        <w:t>Switzerland (WTW)</w:t>
      </w:r>
      <w:r>
        <w:rPr>
          <w:rFonts w:ascii="Times New Roman" w:cs="Times New Roman" w:eastAsia="Times New Roman" w:hAnsi="Times New Roman"/>
          <w:sz w:val="18"/>
          <w:szCs w:val="18"/>
          <w:color w:val="auto"/>
        </w:rPr>
        <w:t xml:space="preserve"> – The defined benefit plans require all employees with local employment contracts to participate. The Company provides benefits in excess of the mandatory minimum required under Swiss occupational pension law. Participants continue to accrue benefits until retirement or upon leaving the Company.</w:t>
      </w:r>
    </w:p>
    <w:p>
      <w:pPr>
        <w:spacing w:after="0" w:line="17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73025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20" w:top="524" w:right="3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i w:val="1"/>
          <w:iCs w:val="1"/>
          <w:color w:val="auto"/>
        </w:rPr>
        <w:t>Amounts Recognized in our Consolidated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schedules provide information concerning the defined benefit pension plans as of and for the years ended December 31, 2022 and 2021:</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3"/>
                <w:szCs w:val="13"/>
                <w:b w:val="1"/>
                <w:bCs w:val="1"/>
                <w:color w:val="auto"/>
              </w:rPr>
              <w:t>2022</w:t>
            </w: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3"/>
                <w:szCs w:val="13"/>
                <w:b w:val="1"/>
                <w:bCs w:val="1"/>
                <w:color w:val="auto"/>
              </w:rPr>
              <w:t>U.S.</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3"/>
                <w:szCs w:val="13"/>
                <w:b w:val="1"/>
                <w:bCs w:val="1"/>
                <w:color w:val="auto"/>
              </w:rPr>
              <w:t>U.K.</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3"/>
                <w:szCs w:val="13"/>
                <w:b w:val="1"/>
                <w:bCs w:val="1"/>
                <w:color w:val="auto"/>
              </w:rPr>
              <w:t>U.S.</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3"/>
                <w:szCs w:val="13"/>
                <w:b w:val="1"/>
                <w:bCs w:val="1"/>
                <w:color w:val="auto"/>
              </w:rPr>
              <w:t>U.K.</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3"/>
                <w:szCs w:val="13"/>
                <w:b w:val="1"/>
                <w:bCs w:val="1"/>
                <w:color w:val="auto"/>
              </w:rPr>
              <w:t>Other</w:t>
            </w:r>
          </w:p>
        </w:tc>
        <w:tc>
          <w:tcPr>
            <w:tcW w:w="0" w:type="dxa"/>
            <w:vAlign w:val="bottom"/>
          </w:tcPr>
          <w:p>
            <w:pPr>
              <w:spacing w:after="0"/>
              <w:rPr>
                <w:sz w:val="1"/>
                <w:szCs w:val="1"/>
                <w:color w:val="auto"/>
              </w:rPr>
            </w:pPr>
          </w:p>
        </w:tc>
      </w:tr>
      <w:tr>
        <w:trPr>
          <w:trHeight w:val="169"/>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Benefit Obligation</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Benefit obligation, beginning of year</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5,096</w:t>
            </w:r>
          </w:p>
        </w:tc>
        <w:tc>
          <w:tcPr>
            <w:tcW w:w="3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4,369</w:t>
            </w:r>
          </w:p>
        </w:tc>
        <w:tc>
          <w:tcPr>
            <w:tcW w:w="3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922</w:t>
            </w:r>
          </w:p>
        </w:tc>
        <w:tc>
          <w:tcPr>
            <w:tcW w:w="3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5,291</w:t>
            </w:r>
          </w:p>
        </w:tc>
        <w:tc>
          <w:tcPr>
            <w:tcW w:w="3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4,843</w:t>
            </w: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955</w:t>
            </w:r>
          </w:p>
        </w:tc>
        <w:tc>
          <w:tcPr>
            <w:tcW w:w="0" w:type="dxa"/>
            <w:vAlign w:val="bottom"/>
          </w:tcPr>
          <w:p>
            <w:pPr>
              <w:spacing w:after="0"/>
              <w:rPr>
                <w:sz w:val="1"/>
                <w:szCs w:val="1"/>
                <w:color w:val="auto"/>
              </w:rPr>
            </w:pPr>
          </w:p>
        </w:tc>
      </w:tr>
      <w:tr>
        <w:trPr>
          <w:trHeight w:val="175"/>
        </w:trPr>
        <w:tc>
          <w:tcPr>
            <w:tcW w:w="41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Service cost</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77</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79</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75"/>
        </w:trPr>
        <w:tc>
          <w:tcPr>
            <w:tcW w:w="41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Interest cost</w:t>
            </w:r>
          </w:p>
        </w:tc>
        <w:tc>
          <w:tcPr>
            <w:tcW w:w="22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119</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70</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94</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5"/>
        </w:trPr>
        <w:tc>
          <w:tcPr>
            <w:tcW w:w="41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Employee contributions</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1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Actuarial gains</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(1,186 )</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(1,434 )</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(221 )</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(170 )</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(109 )</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0" w:type="dxa"/>
            <w:vAlign w:val="bottom"/>
          </w:tcPr>
          <w:p>
            <w:pPr>
              <w:spacing w:after="0"/>
              <w:rPr>
                <w:sz w:val="1"/>
                <w:szCs w:val="1"/>
                <w:color w:val="auto"/>
              </w:rPr>
            </w:pPr>
          </w:p>
        </w:tc>
      </w:tr>
      <w:tr>
        <w:trPr>
          <w:trHeight w:val="175"/>
        </w:trPr>
        <w:tc>
          <w:tcPr>
            <w:tcW w:w="41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Settlements</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175"/>
        </w:trPr>
        <w:tc>
          <w:tcPr>
            <w:tcW w:w="41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Curtailments</w:t>
            </w:r>
          </w:p>
        </w:tc>
        <w:tc>
          <w:tcPr>
            <w:tcW w:w="22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1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Benefits paid</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(226 )</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(130 )</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(209 )</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(145 )</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0" w:type="dxa"/>
            <w:vAlign w:val="bottom"/>
          </w:tcPr>
          <w:p>
            <w:pPr>
              <w:spacing w:after="0"/>
              <w:rPr>
                <w:sz w:val="1"/>
                <w:szCs w:val="1"/>
                <w:color w:val="auto"/>
              </w:rPr>
            </w:pPr>
          </w:p>
        </w:tc>
      </w:tr>
      <w:tr>
        <w:trPr>
          <w:trHeight w:val="175"/>
        </w:trPr>
        <w:tc>
          <w:tcPr>
            <w:tcW w:w="41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Plan amendments</w:t>
            </w:r>
          </w:p>
        </w:tc>
        <w:tc>
          <w:tcPr>
            <w:tcW w:w="22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5"/>
        </w:trPr>
        <w:tc>
          <w:tcPr>
            <w:tcW w:w="41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Plan (disposal)/addition</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(257 )</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75"/>
        </w:trPr>
        <w:tc>
          <w:tcPr>
            <w:tcW w:w="41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10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Foreign currency changes</w:t>
            </w:r>
          </w:p>
        </w:tc>
        <w:tc>
          <w:tcPr>
            <w:tcW w:w="22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(447 )</w:t>
            </w:r>
          </w:p>
        </w:tc>
        <w:tc>
          <w:tcPr>
            <w:tcW w:w="1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1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0" w:type="dxa"/>
            <w:vAlign w:val="bottom"/>
          </w:tcPr>
          <w:p>
            <w:pPr>
              <w:spacing w:after="0"/>
              <w:rPr>
                <w:sz w:val="1"/>
                <w:szCs w:val="1"/>
                <w:color w:val="auto"/>
              </w:rPr>
            </w:pPr>
          </w:p>
        </w:tc>
      </w:tr>
      <w:tr>
        <w:trPr>
          <w:trHeight w:val="169"/>
        </w:trPr>
        <w:tc>
          <w:tcPr>
            <w:tcW w:w="4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Benefit obligation, end of year</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3,871</w:t>
            </w:r>
          </w:p>
        </w:tc>
        <w:tc>
          <w:tcPr>
            <w:tcW w:w="3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2,435</w:t>
            </w:r>
          </w:p>
        </w:tc>
        <w:tc>
          <w:tcPr>
            <w:tcW w:w="3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655</w:t>
            </w:r>
          </w:p>
        </w:tc>
        <w:tc>
          <w:tcPr>
            <w:tcW w:w="3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5,096</w:t>
            </w:r>
          </w:p>
        </w:tc>
        <w:tc>
          <w:tcPr>
            <w:tcW w:w="3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4,369</w:t>
            </w: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922</w:t>
            </w:r>
          </w:p>
        </w:tc>
        <w:tc>
          <w:tcPr>
            <w:tcW w:w="0" w:type="dxa"/>
            <w:vAlign w:val="bottom"/>
          </w:tcPr>
          <w:p>
            <w:pPr>
              <w:spacing w:after="0"/>
              <w:rPr>
                <w:sz w:val="1"/>
                <w:szCs w:val="1"/>
                <w:color w:val="auto"/>
              </w:rPr>
            </w:pPr>
          </w:p>
        </w:tc>
      </w:tr>
      <w:tr>
        <w:trPr>
          <w:trHeight w:val="169"/>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Plan Assets</w:t>
            </w:r>
          </w:p>
        </w:tc>
        <w:tc>
          <w:tcPr>
            <w:tcW w:w="22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10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Fair value of plan assets, beginning of</w:t>
            </w:r>
          </w:p>
        </w:tc>
        <w:tc>
          <w:tcPr>
            <w:tcW w:w="2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4,710</w:t>
            </w:r>
          </w:p>
        </w:tc>
        <w:tc>
          <w:tcPr>
            <w:tcW w:w="38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5,266</w:t>
            </w:r>
          </w:p>
        </w:tc>
        <w:tc>
          <w:tcPr>
            <w:tcW w:w="3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739</w:t>
            </w:r>
          </w:p>
        </w:tc>
        <w:tc>
          <w:tcPr>
            <w:tcW w:w="36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4,357</w:t>
            </w:r>
          </w:p>
        </w:tc>
        <w:tc>
          <w:tcPr>
            <w:tcW w:w="36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5,767</w:t>
            </w:r>
          </w:p>
        </w:tc>
        <w:tc>
          <w:tcPr>
            <w:tcW w:w="34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684</w:t>
            </w:r>
          </w:p>
        </w:tc>
        <w:tc>
          <w:tcPr>
            <w:tcW w:w="0" w:type="dxa"/>
            <w:vAlign w:val="bottom"/>
          </w:tcPr>
          <w:p>
            <w:pPr>
              <w:spacing w:after="0"/>
              <w:rPr>
                <w:sz w:val="1"/>
                <w:szCs w:val="1"/>
                <w:color w:val="auto"/>
              </w:rPr>
            </w:pPr>
          </w:p>
        </w:tc>
      </w:tr>
      <w:tr>
        <w:trPr>
          <w:trHeight w:val="185"/>
        </w:trPr>
        <w:tc>
          <w:tcPr>
            <w:tcW w:w="4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year</w:t>
            </w:r>
          </w:p>
        </w:tc>
        <w:tc>
          <w:tcPr>
            <w:tcW w:w="2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1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Actual return on plan assets</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(694 )</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(1,622 )</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(124 )</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470</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(68 )</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75"/>
        </w:trPr>
        <w:tc>
          <w:tcPr>
            <w:tcW w:w="41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Employer contributions</w:t>
            </w:r>
          </w:p>
        </w:tc>
        <w:tc>
          <w:tcPr>
            <w:tcW w:w="22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82</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75"/>
        </w:trPr>
        <w:tc>
          <w:tcPr>
            <w:tcW w:w="41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Employee contributions</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1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Settlements</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175"/>
        </w:trPr>
        <w:tc>
          <w:tcPr>
            <w:tcW w:w="41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Benefits paid</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(226 )</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(130 )</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(209 )</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(145 )</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0" w:type="dxa"/>
            <w:vAlign w:val="bottom"/>
          </w:tcPr>
          <w:p>
            <w:pPr>
              <w:spacing w:after="0"/>
              <w:rPr>
                <w:sz w:val="1"/>
                <w:szCs w:val="1"/>
                <w:color w:val="auto"/>
              </w:rPr>
            </w:pPr>
          </w:p>
        </w:tc>
      </w:tr>
      <w:tr>
        <w:trPr>
          <w:trHeight w:val="175"/>
        </w:trPr>
        <w:tc>
          <w:tcPr>
            <w:tcW w:w="41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Plan (disposal)/addition</w:t>
            </w:r>
          </w:p>
        </w:tc>
        <w:tc>
          <w:tcPr>
            <w:tcW w:w="22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(275 )</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75"/>
        </w:trPr>
        <w:tc>
          <w:tcPr>
            <w:tcW w:w="41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5"/>
        </w:trPr>
        <w:tc>
          <w:tcPr>
            <w:tcW w:w="41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Foreign currency changes</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(543 )</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0" w:type="dxa"/>
            <w:vAlign w:val="bottom"/>
          </w:tcPr>
          <w:p>
            <w:pPr>
              <w:spacing w:after="0"/>
              <w:rPr>
                <w:sz w:val="1"/>
                <w:szCs w:val="1"/>
                <w:color w:val="auto"/>
              </w:rPr>
            </w:pPr>
          </w:p>
        </w:tc>
      </w:tr>
      <w:tr>
        <w:trPr>
          <w:trHeight w:val="169"/>
        </w:trPr>
        <w:tc>
          <w:tcPr>
            <w:tcW w:w="41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Fair value of plan assets, end of year</w:t>
            </w: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3,823</w:t>
            </w:r>
          </w:p>
        </w:tc>
        <w:tc>
          <w:tcPr>
            <w:tcW w:w="1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2,999</w:t>
            </w:r>
          </w:p>
        </w:tc>
        <w:tc>
          <w:tcPr>
            <w:tcW w:w="1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580</w:t>
            </w:r>
          </w:p>
        </w:tc>
        <w:tc>
          <w:tcPr>
            <w:tcW w:w="1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4,710</w:t>
            </w:r>
          </w:p>
        </w:tc>
        <w:tc>
          <w:tcPr>
            <w:tcW w:w="1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5,266</w:t>
            </w:r>
          </w:p>
        </w:tc>
        <w:tc>
          <w:tcPr>
            <w:tcW w:w="1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739</w:t>
            </w:r>
          </w:p>
        </w:tc>
        <w:tc>
          <w:tcPr>
            <w:tcW w:w="0" w:type="dxa"/>
            <w:vAlign w:val="bottom"/>
          </w:tcPr>
          <w:p>
            <w:pPr>
              <w:spacing w:after="0"/>
              <w:rPr>
                <w:sz w:val="1"/>
                <w:szCs w:val="1"/>
                <w:color w:val="auto"/>
              </w:rPr>
            </w:pPr>
          </w:p>
        </w:tc>
      </w:tr>
      <w:tr>
        <w:trPr>
          <w:trHeight w:val="169"/>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Funded status at end of year</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160" w:type="dxa"/>
            <w:vAlign w:val="bottom"/>
          </w:tcPr>
          <w:p>
            <w:pPr>
              <w:spacing w:after="0"/>
              <w:rPr>
                <w:sz w:val="14"/>
                <w:szCs w:val="14"/>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564</w:t>
            </w:r>
          </w:p>
        </w:tc>
        <w:tc>
          <w:tcPr>
            <w:tcW w:w="160" w:type="dxa"/>
            <w:vAlign w:val="bottom"/>
          </w:tcPr>
          <w:p>
            <w:pPr>
              <w:spacing w:after="0"/>
              <w:rPr>
                <w:sz w:val="14"/>
                <w:szCs w:val="14"/>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140" w:type="dxa"/>
            <w:vAlign w:val="bottom"/>
          </w:tcPr>
          <w:p>
            <w:pPr>
              <w:spacing w:after="0"/>
              <w:rPr>
                <w:sz w:val="14"/>
                <w:szCs w:val="14"/>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(386 )</w:t>
            </w:r>
          </w:p>
        </w:tc>
        <w:tc>
          <w:tcPr>
            <w:tcW w:w="140" w:type="dxa"/>
            <w:vAlign w:val="bottom"/>
          </w:tcPr>
          <w:p>
            <w:pPr>
              <w:spacing w:after="0"/>
              <w:rPr>
                <w:sz w:val="14"/>
                <w:szCs w:val="14"/>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897</w:t>
            </w:r>
          </w:p>
        </w:tc>
        <w:tc>
          <w:tcPr>
            <w:tcW w:w="120" w:type="dxa"/>
            <w:vAlign w:val="bottom"/>
          </w:tcPr>
          <w:p>
            <w:pPr>
              <w:spacing w:after="0"/>
              <w:rPr>
                <w:sz w:val="14"/>
                <w:szCs w:val="14"/>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(183 )</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0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Accumulated Benefit Obligation</w:t>
            </w:r>
          </w:p>
        </w:tc>
        <w:tc>
          <w:tcPr>
            <w:tcW w:w="220" w:type="dxa"/>
            <w:vAlign w:val="bottom"/>
            <w:tcBorders>
              <w:top w:val="single" w:sz="8" w:color="auto"/>
            </w:tcBorders>
            <w:shd w:val="clear" w:color="auto" w:fill="CFF0FC"/>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3,871</w:t>
            </w:r>
          </w:p>
        </w:tc>
        <w:tc>
          <w:tcPr>
            <w:tcW w:w="160" w:type="dxa"/>
            <w:vAlign w:val="bottom"/>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2,435</w:t>
            </w:r>
          </w:p>
        </w:tc>
        <w:tc>
          <w:tcPr>
            <w:tcW w:w="16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629</w:t>
            </w:r>
          </w:p>
        </w:tc>
        <w:tc>
          <w:tcPr>
            <w:tcW w:w="140" w:type="dxa"/>
            <w:vAlign w:val="bottom"/>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5,096</w:t>
            </w:r>
          </w:p>
        </w:tc>
        <w:tc>
          <w:tcPr>
            <w:tcW w:w="140" w:type="dxa"/>
            <w:vAlign w:val="bottom"/>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4,369</w:t>
            </w:r>
          </w:p>
        </w:tc>
        <w:tc>
          <w:tcPr>
            <w:tcW w:w="120" w:type="dxa"/>
            <w:vAlign w:val="bottom"/>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rPr>
              <w:t>884</w:t>
            </w:r>
          </w:p>
        </w:tc>
        <w:tc>
          <w:tcPr>
            <w:tcW w:w="0" w:type="dxa"/>
            <w:vAlign w:val="bottom"/>
          </w:tcPr>
          <w:p>
            <w:pPr>
              <w:spacing w:after="0"/>
              <w:rPr>
                <w:sz w:val="1"/>
                <w:szCs w:val="1"/>
                <w:color w:val="auto"/>
              </w:rPr>
            </w:pPr>
          </w:p>
        </w:tc>
      </w:tr>
      <w:tr>
        <w:trPr>
          <w:trHeight w:val="137"/>
        </w:trPr>
        <w:tc>
          <w:tcPr>
            <w:tcW w:w="410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Components on the Consolidated</w:t>
            </w: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1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1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Pension benefits assets</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179</w:t>
            </w:r>
          </w:p>
        </w:tc>
        <w:tc>
          <w:tcPr>
            <w:tcW w:w="3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569</w:t>
            </w:r>
          </w:p>
        </w:tc>
        <w:tc>
          <w:tcPr>
            <w:tcW w:w="3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57</w:t>
            </w:r>
          </w:p>
        </w:tc>
        <w:tc>
          <w:tcPr>
            <w:tcW w:w="3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903</w:t>
            </w:r>
          </w:p>
        </w:tc>
        <w:tc>
          <w:tcPr>
            <w:tcW w:w="3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75"/>
        </w:trPr>
        <w:tc>
          <w:tcPr>
            <w:tcW w:w="41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Current liability for pension benefits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3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3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(52 )</w:t>
            </w:r>
          </w:p>
        </w:tc>
        <w:tc>
          <w:tcPr>
            <w:tcW w:w="3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39"/>
        </w:trPr>
        <w:tc>
          <w:tcPr>
            <w:tcW w:w="4100" w:type="dxa"/>
            <w:vAlign w:val="bottom"/>
            <w:shd w:val="clear" w:color="auto" w:fill="CFF0FC"/>
          </w:tcPr>
          <w:p>
            <w:pPr>
              <w:ind w:left="300"/>
              <w:spacing w:after="0" w:line="139" w:lineRule="exact"/>
              <w:rPr>
                <w:sz w:val="20"/>
                <w:szCs w:val="20"/>
                <w:color w:val="auto"/>
              </w:rPr>
            </w:pPr>
            <w:r>
              <w:rPr>
                <w:rFonts w:ascii="Times New Roman" w:cs="Times New Roman" w:eastAsia="Times New Roman" w:hAnsi="Times New Roman"/>
                <w:sz w:val="14"/>
                <w:szCs w:val="14"/>
                <w:color w:val="auto"/>
              </w:rPr>
              <w:t>Non-current liability for pension</w:t>
            </w:r>
          </w:p>
        </w:tc>
        <w:tc>
          <w:tcPr>
            <w:tcW w:w="22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(201 )</w:t>
            </w:r>
          </w:p>
        </w:tc>
        <w:tc>
          <w:tcPr>
            <w:tcW w:w="160" w:type="dxa"/>
            <w:vAlign w:val="bottom"/>
            <w:vMerge w:val="restart"/>
            <w:shd w:val="clear" w:color="auto" w:fill="CFF0FC"/>
          </w:tcPr>
          <w:p>
            <w:pPr>
              <w:spacing w:after="0"/>
              <w:rPr>
                <w:sz w:val="12"/>
                <w:szCs w:val="12"/>
                <w:color w:val="auto"/>
              </w:rPr>
            </w:pPr>
          </w:p>
        </w:tc>
        <w:tc>
          <w:tcPr>
            <w:tcW w:w="22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60" w:type="dxa"/>
            <w:vAlign w:val="bottom"/>
            <w:vMerge w:val="restart"/>
            <w:shd w:val="clear" w:color="auto" w:fill="CFF0FC"/>
          </w:tcPr>
          <w:p>
            <w:pPr>
              <w:spacing w:after="0"/>
              <w:rPr>
                <w:sz w:val="12"/>
                <w:szCs w:val="12"/>
                <w:color w:val="auto"/>
              </w:rPr>
            </w:pPr>
          </w:p>
        </w:tc>
        <w:tc>
          <w:tcPr>
            <w:tcW w:w="2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(127 )</w:t>
            </w:r>
          </w:p>
        </w:tc>
        <w:tc>
          <w:tcPr>
            <w:tcW w:w="140" w:type="dxa"/>
            <w:vAlign w:val="bottom"/>
            <w:vMerge w:val="restart"/>
            <w:shd w:val="clear" w:color="auto" w:fill="CFF0FC"/>
          </w:tcPr>
          <w:p>
            <w:pPr>
              <w:spacing w:after="0"/>
              <w:rPr>
                <w:sz w:val="12"/>
                <w:szCs w:val="12"/>
                <w:color w:val="auto"/>
              </w:rPr>
            </w:pPr>
          </w:p>
        </w:tc>
        <w:tc>
          <w:tcPr>
            <w:tcW w:w="22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(334 )</w:t>
            </w:r>
          </w:p>
        </w:tc>
        <w:tc>
          <w:tcPr>
            <w:tcW w:w="140" w:type="dxa"/>
            <w:vAlign w:val="bottom"/>
            <w:vMerge w:val="restart"/>
            <w:shd w:val="clear" w:color="auto" w:fill="CFF0FC"/>
          </w:tcPr>
          <w:p>
            <w:pPr>
              <w:spacing w:after="0"/>
              <w:rPr>
                <w:sz w:val="12"/>
                <w:szCs w:val="12"/>
                <w:color w:val="auto"/>
              </w:rPr>
            </w:pPr>
          </w:p>
        </w:tc>
        <w:tc>
          <w:tcPr>
            <w:tcW w:w="22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20" w:type="dxa"/>
            <w:vAlign w:val="bottom"/>
            <w:vMerge w:val="restart"/>
            <w:shd w:val="clear" w:color="auto" w:fill="CFF0FC"/>
          </w:tcPr>
          <w:p>
            <w:pPr>
              <w:spacing w:after="0"/>
              <w:rPr>
                <w:sz w:val="12"/>
                <w:szCs w:val="12"/>
                <w:color w:val="auto"/>
              </w:rPr>
            </w:pPr>
          </w:p>
        </w:tc>
        <w:tc>
          <w:tcPr>
            <w:tcW w:w="2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(226 )</w:t>
            </w:r>
          </w:p>
        </w:tc>
        <w:tc>
          <w:tcPr>
            <w:tcW w:w="0" w:type="dxa"/>
            <w:vAlign w:val="bottom"/>
          </w:tcPr>
          <w:p>
            <w:pPr>
              <w:spacing w:after="0"/>
              <w:rPr>
                <w:sz w:val="1"/>
                <w:szCs w:val="1"/>
                <w:color w:val="auto"/>
              </w:rPr>
            </w:pPr>
          </w:p>
        </w:tc>
      </w:tr>
      <w:tr>
        <w:trPr>
          <w:trHeight w:val="171"/>
        </w:trPr>
        <w:tc>
          <w:tcPr>
            <w:tcW w:w="4100" w:type="dxa"/>
            <w:vAlign w:val="bottom"/>
            <w:tcBorders>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benefits</w:t>
            </w:r>
          </w:p>
        </w:tc>
        <w:tc>
          <w:tcPr>
            <w:tcW w:w="220" w:type="dxa"/>
            <w:vAlign w:val="bottom"/>
            <w:tcBorders>
              <w:bottom w:val="single" w:sz="8" w:color="auto"/>
            </w:tcBorders>
            <w:vMerge w:val="continue"/>
            <w:shd w:val="clear" w:color="auto" w:fill="CFF0FC"/>
          </w:tcPr>
          <w:p>
            <w:pPr>
              <w:spacing w:after="0"/>
              <w:rPr>
                <w:sz w:val="14"/>
                <w:szCs w:val="14"/>
                <w:color w:val="auto"/>
              </w:rPr>
            </w:pPr>
          </w:p>
        </w:tc>
        <w:tc>
          <w:tcPr>
            <w:tcW w:w="86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tcBorders>
              <w:bottom w:val="single" w:sz="8" w:color="CFF0FC"/>
            </w:tcBorders>
            <w:vMerge w:val="continue"/>
            <w:shd w:val="clear" w:color="auto" w:fill="CFF0FC"/>
          </w:tcPr>
          <w:p>
            <w:pPr>
              <w:spacing w:after="0"/>
              <w:rPr>
                <w:sz w:val="14"/>
                <w:szCs w:val="14"/>
                <w:color w:val="auto"/>
              </w:rPr>
            </w:pPr>
          </w:p>
        </w:tc>
        <w:tc>
          <w:tcPr>
            <w:tcW w:w="220" w:type="dxa"/>
            <w:vAlign w:val="bottom"/>
            <w:tcBorders>
              <w:bottom w:val="single" w:sz="8" w:color="auto"/>
            </w:tcBorders>
            <w:vMerge w:val="continue"/>
            <w:shd w:val="clear" w:color="auto" w:fill="CFF0FC"/>
          </w:tcPr>
          <w:p>
            <w:pPr>
              <w:spacing w:after="0"/>
              <w:rPr>
                <w:sz w:val="14"/>
                <w:szCs w:val="14"/>
                <w:color w:val="auto"/>
              </w:rPr>
            </w:pPr>
          </w:p>
        </w:tc>
        <w:tc>
          <w:tcPr>
            <w:tcW w:w="86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tcBorders>
              <w:bottom w:val="single" w:sz="8" w:color="CFF0FC"/>
            </w:tcBorders>
            <w:vMerge w:val="continue"/>
            <w:shd w:val="clear" w:color="auto" w:fill="CFF0FC"/>
          </w:tcPr>
          <w:p>
            <w:pPr>
              <w:spacing w:after="0"/>
              <w:rPr>
                <w:sz w:val="14"/>
                <w:szCs w:val="14"/>
                <w:color w:val="auto"/>
              </w:rPr>
            </w:pPr>
          </w:p>
        </w:tc>
        <w:tc>
          <w:tcPr>
            <w:tcW w:w="200" w:type="dxa"/>
            <w:vAlign w:val="bottom"/>
            <w:tcBorders>
              <w:bottom w:val="single" w:sz="8" w:color="auto"/>
            </w:tcBorders>
            <w:vMerge w:val="continue"/>
            <w:shd w:val="clear" w:color="auto" w:fill="CFF0FC"/>
          </w:tcPr>
          <w:p>
            <w:pPr>
              <w:spacing w:after="0"/>
              <w:rPr>
                <w:sz w:val="14"/>
                <w:szCs w:val="14"/>
                <w:color w:val="auto"/>
              </w:rPr>
            </w:pPr>
          </w:p>
        </w:tc>
        <w:tc>
          <w:tcPr>
            <w:tcW w:w="86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vMerge w:val="continue"/>
            <w:shd w:val="clear" w:color="auto" w:fill="CFF0FC"/>
          </w:tcPr>
          <w:p>
            <w:pPr>
              <w:spacing w:after="0"/>
              <w:rPr>
                <w:sz w:val="14"/>
                <w:szCs w:val="14"/>
                <w:color w:val="auto"/>
              </w:rPr>
            </w:pPr>
          </w:p>
        </w:tc>
        <w:tc>
          <w:tcPr>
            <w:tcW w:w="220" w:type="dxa"/>
            <w:vAlign w:val="bottom"/>
            <w:tcBorders>
              <w:bottom w:val="single" w:sz="8" w:color="auto"/>
            </w:tcBorders>
            <w:vMerge w:val="continue"/>
            <w:shd w:val="clear" w:color="auto" w:fill="CFF0FC"/>
          </w:tcPr>
          <w:p>
            <w:pPr>
              <w:spacing w:after="0"/>
              <w:rPr>
                <w:sz w:val="14"/>
                <w:szCs w:val="14"/>
                <w:color w:val="auto"/>
              </w:rPr>
            </w:pP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vMerge w:val="continue"/>
            <w:shd w:val="clear" w:color="auto" w:fill="CFF0FC"/>
          </w:tcPr>
          <w:p>
            <w:pPr>
              <w:spacing w:after="0"/>
              <w:rPr>
                <w:sz w:val="14"/>
                <w:szCs w:val="14"/>
                <w:color w:val="auto"/>
              </w:rPr>
            </w:pPr>
          </w:p>
        </w:tc>
        <w:tc>
          <w:tcPr>
            <w:tcW w:w="220" w:type="dxa"/>
            <w:vAlign w:val="bottom"/>
            <w:tcBorders>
              <w:bottom w:val="single" w:sz="8" w:color="auto"/>
            </w:tcBorders>
            <w:vMerge w:val="continue"/>
            <w:shd w:val="clear" w:color="auto" w:fill="CFF0FC"/>
          </w:tcPr>
          <w:p>
            <w:pPr>
              <w:spacing w:after="0"/>
              <w:rPr>
                <w:sz w:val="14"/>
                <w:szCs w:val="14"/>
                <w:color w:val="auto"/>
              </w:rPr>
            </w:pPr>
          </w:p>
        </w:tc>
        <w:tc>
          <w:tcPr>
            <w:tcW w:w="84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vMerge w:val="continue"/>
            <w:shd w:val="clear" w:color="auto" w:fill="CFF0FC"/>
          </w:tcPr>
          <w:p>
            <w:pPr>
              <w:spacing w:after="0"/>
              <w:rPr>
                <w:sz w:val="14"/>
                <w:szCs w:val="14"/>
                <w:color w:val="auto"/>
              </w:rPr>
            </w:pPr>
          </w:p>
        </w:tc>
        <w:tc>
          <w:tcPr>
            <w:tcW w:w="220" w:type="dxa"/>
            <w:vAlign w:val="bottom"/>
            <w:tcBorders>
              <w:bottom w:val="single" w:sz="8" w:color="auto"/>
            </w:tcBorders>
            <w:vMerge w:val="continue"/>
            <w:shd w:val="clear" w:color="auto" w:fill="CFF0FC"/>
          </w:tcPr>
          <w:p>
            <w:pPr>
              <w:spacing w:after="0"/>
              <w:rPr>
                <w:sz w:val="14"/>
                <w:szCs w:val="14"/>
                <w:color w:val="auto"/>
              </w:rPr>
            </w:pPr>
          </w:p>
        </w:tc>
        <w:tc>
          <w:tcPr>
            <w:tcW w:w="88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0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3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564</w:t>
            </w:r>
          </w:p>
        </w:tc>
        <w:tc>
          <w:tcPr>
            <w:tcW w:w="3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3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(386 )</w:t>
            </w:r>
          </w:p>
        </w:tc>
        <w:tc>
          <w:tcPr>
            <w:tcW w:w="3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897</w:t>
            </w: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(183 )</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3293110</wp:posOffset>
            </wp:positionH>
            <wp:positionV relativeFrom="paragraph">
              <wp:posOffset>-2482215</wp:posOffset>
            </wp:positionV>
            <wp:extent cx="93980" cy="12827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-2482215</wp:posOffset>
            </wp:positionV>
            <wp:extent cx="93980" cy="12827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4851400</wp:posOffset>
            </wp:positionH>
            <wp:positionV relativeFrom="paragraph">
              <wp:posOffset>-2482215</wp:posOffset>
            </wp:positionV>
            <wp:extent cx="85725" cy="12827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5725" cy="128270"/>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-2482215</wp:posOffset>
            </wp:positionV>
            <wp:extent cx="85725" cy="12827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5725" cy="128270"/>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-2482215</wp:posOffset>
            </wp:positionV>
            <wp:extent cx="85725" cy="12827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5725" cy="128270"/>
                    </a:xfrm>
                    <a:prstGeom prst="rect">
                      <a:avLst/>
                    </a:prstGeom>
                    <a:noFill/>
                  </pic:spPr>
                </pic:pic>
              </a:graphicData>
            </a:graphic>
          </wp:anchor>
        </w:drawing>
        <w:drawing>
          <wp:anchor simplePos="0" relativeHeight="251657728" behindDoc="1" locked="0" layoutInCell="0" allowOverlap="1">
            <wp:simplePos x="0" y="0"/>
            <wp:positionH relativeFrom="column">
              <wp:posOffset>3293110</wp:posOffset>
            </wp:positionH>
            <wp:positionV relativeFrom="paragraph">
              <wp:posOffset>-1026795</wp:posOffset>
            </wp:positionV>
            <wp:extent cx="93980" cy="14541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-1026795</wp:posOffset>
            </wp:positionV>
            <wp:extent cx="93980" cy="14541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4851400</wp:posOffset>
            </wp:positionH>
            <wp:positionV relativeFrom="paragraph">
              <wp:posOffset>-1026795</wp:posOffset>
            </wp:positionV>
            <wp:extent cx="85725" cy="14541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-1026795</wp:posOffset>
            </wp:positionV>
            <wp:extent cx="85725" cy="14541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-1026795</wp:posOffset>
            </wp:positionV>
            <wp:extent cx="85725" cy="14541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3293110</wp:posOffset>
            </wp:positionH>
            <wp:positionV relativeFrom="paragraph">
              <wp:posOffset>-144780</wp:posOffset>
            </wp:positionV>
            <wp:extent cx="93980" cy="14541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-144780</wp:posOffset>
            </wp:positionV>
            <wp:extent cx="93980" cy="14541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4851400</wp:posOffset>
            </wp:positionH>
            <wp:positionV relativeFrom="paragraph">
              <wp:posOffset>-144780</wp:posOffset>
            </wp:positionV>
            <wp:extent cx="85725" cy="14541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-144780</wp:posOffset>
            </wp:positionV>
            <wp:extent cx="85725" cy="14541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-144780</wp:posOffset>
            </wp:positionV>
            <wp:extent cx="85725" cy="14541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5725" cy="145415"/>
                    </a:xfrm>
                    <a:prstGeom prst="rect">
                      <a:avLst/>
                    </a:prstGeom>
                    <a:noFill/>
                  </pic:spPr>
                </pic:pic>
              </a:graphicData>
            </a:graphic>
          </wp:anchor>
        </w:drawing>
      </w:r>
    </w:p>
    <w:p>
      <w:pPr>
        <w:spacing w:after="0" w:line="12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For the year ended December 31, 2022, bond yields increased, driving an increase in the discount rates and actuarial gains for all plans. The U.K. and Other plans also had favorable effects from foreign exchange on their benefit obligations.</w:t>
      </w:r>
    </w:p>
    <w:p>
      <w:pPr>
        <w:spacing w:after="0" w:line="10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For the year ended December 31, 2021, bond yields increased, driving an increase in the discount rates and actuarial gains for all plans. The U.K. and Other plans also had favorable effects from foreign exchange, and the Miller disposal further reduced obligations for the U.K. plans.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accumulated other comprehensive loss as of December 31, 2022 and 2021 consist of:</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U.K.</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U.K.</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216"/>
        </w:trPr>
        <w:tc>
          <w:tcPr>
            <w:tcW w:w="4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actuarial loss</w:t>
            </w:r>
          </w:p>
        </w:tc>
        <w:tc>
          <w:tcPr>
            <w:tcW w:w="2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597</w:t>
            </w:r>
          </w:p>
        </w:tc>
        <w:tc>
          <w:tcPr>
            <w:tcW w:w="340" w:type="dxa"/>
            <w:vAlign w:val="bottom"/>
            <w:tcBorders>
              <w:bottom w:val="single" w:sz="8" w:color="CFF0FC"/>
            </w:tcBorders>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1,497</w:t>
            </w:r>
          </w:p>
        </w:tc>
        <w:tc>
          <w:tcPr>
            <w:tcW w:w="320" w:type="dxa"/>
            <w:vAlign w:val="bottom"/>
            <w:tcBorders>
              <w:bottom w:val="single" w:sz="8" w:color="CFF0FC"/>
            </w:tcBorders>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36</w:t>
            </w:r>
          </w:p>
        </w:tc>
        <w:tc>
          <w:tcPr>
            <w:tcW w:w="340" w:type="dxa"/>
            <w:vAlign w:val="bottom"/>
            <w:tcBorders>
              <w:bottom w:val="single" w:sz="8" w:color="CFF0FC"/>
            </w:tcBorders>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776</w:t>
            </w:r>
          </w:p>
        </w:tc>
        <w:tc>
          <w:tcPr>
            <w:tcW w:w="340" w:type="dxa"/>
            <w:vAlign w:val="bottom"/>
            <w:tcBorders>
              <w:bottom w:val="single" w:sz="8" w:color="CFF0FC"/>
            </w:tcBorders>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1,356</w:t>
            </w:r>
          </w:p>
        </w:tc>
        <w:tc>
          <w:tcPr>
            <w:tcW w:w="320" w:type="dxa"/>
            <w:vAlign w:val="bottom"/>
            <w:tcBorders>
              <w:bottom w:val="single" w:sz="8" w:color="CFF0FC"/>
            </w:tcBorders>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186"/>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prior service loss/(gain)</w:t>
            </w:r>
          </w:p>
        </w:tc>
        <w:tc>
          <w:tcPr>
            <w:tcW w:w="220" w:type="dxa"/>
            <w:vAlign w:val="bottom"/>
          </w:tcPr>
          <w:p>
            <w:pPr>
              <w:spacing w:after="0"/>
              <w:rPr>
                <w:sz w:val="16"/>
                <w:szCs w:val="16"/>
                <w:color w:val="auto"/>
              </w:rPr>
            </w:pPr>
          </w:p>
        </w:tc>
        <w:tc>
          <w:tcPr>
            <w:tcW w:w="8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43"/>
        </w:trPr>
        <w:tc>
          <w:tcPr>
            <w:tcW w:w="42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vMerge w:val="continue"/>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vMerge w:val="continue"/>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vMerge w:val="continue"/>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vMerge w:val="continue"/>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597</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1,503</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45</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776</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1,349</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3361690</wp:posOffset>
            </wp:positionH>
            <wp:positionV relativeFrom="paragraph">
              <wp:posOffset>-24765</wp:posOffset>
            </wp:positionV>
            <wp:extent cx="9398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3361690</wp:posOffset>
            </wp:positionH>
            <wp:positionV relativeFrom="paragraph">
              <wp:posOffset>-7620</wp:posOffset>
            </wp:positionV>
            <wp:extent cx="9398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4131945</wp:posOffset>
            </wp:positionH>
            <wp:positionV relativeFrom="paragraph">
              <wp:posOffset>-24765</wp:posOffset>
            </wp:positionV>
            <wp:extent cx="8572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4131945</wp:posOffset>
            </wp:positionH>
            <wp:positionV relativeFrom="paragraph">
              <wp:posOffset>-7620</wp:posOffset>
            </wp:positionV>
            <wp:extent cx="8572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-24765</wp:posOffset>
            </wp:positionV>
            <wp:extent cx="8572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-7620</wp:posOffset>
            </wp:positionV>
            <wp:extent cx="8572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-24765</wp:posOffset>
            </wp:positionV>
            <wp:extent cx="8572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-7620</wp:posOffset>
            </wp:positionV>
            <wp:extent cx="8572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-24765</wp:posOffset>
            </wp:positionV>
            <wp:extent cx="8572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-7620</wp:posOffset>
            </wp:positionV>
            <wp:extent cx="8572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3" w:lineRule="exact"/>
        <w:rPr>
          <w:sz w:val="20"/>
          <w:szCs w:val="20"/>
          <w:color w:val="auto"/>
        </w:rPr>
      </w:pPr>
    </w:p>
    <w:p>
      <w:pPr>
        <w:jc w:val="both"/>
        <w:ind w:right="120"/>
        <w:spacing w:after="0" w:line="281" w:lineRule="auto"/>
        <w:rPr>
          <w:sz w:val="20"/>
          <w:szCs w:val="20"/>
          <w:color w:val="auto"/>
        </w:rPr>
      </w:pPr>
      <w:r>
        <w:rPr>
          <w:rFonts w:ascii="Times New Roman" w:cs="Times New Roman" w:eastAsia="Times New Roman" w:hAnsi="Times New Roman"/>
          <w:sz w:val="18"/>
          <w:szCs w:val="18"/>
          <w:color w:val="auto"/>
        </w:rPr>
        <w:t>The following table presents the projected benefit obligation and fair value of plan assets for our plans that have a projected benefit obligation in excess of plan assets as of December 31, 2022 and 2021: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69"/>
        </w:trPr>
        <w:tc>
          <w:tcPr>
            <w:tcW w:w="4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4"/>
                <w:szCs w:val="14"/>
                <w:color w:val="auto"/>
              </w:rPr>
            </w:pPr>
          </w:p>
        </w:tc>
        <w:tc>
          <w:tcPr>
            <w:tcW w:w="8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U.K.</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U.K.</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236"/>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at end of year</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939</w:t>
            </w:r>
          </w:p>
        </w:tc>
        <w:tc>
          <w:tcPr>
            <w:tcW w:w="1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5,096</w:t>
            </w:r>
          </w:p>
        </w:tc>
        <w:tc>
          <w:tcPr>
            <w:tcW w:w="1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476</w:t>
            </w:r>
          </w:p>
        </w:tc>
      </w:tr>
      <w:tr>
        <w:trPr>
          <w:trHeight w:val="234"/>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713</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145</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4,710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245</w:t>
            </w:r>
          </w:p>
        </w:tc>
      </w:tr>
      <w:tr>
        <w:trPr>
          <w:trHeight w:val="656"/>
        </w:trPr>
        <w:tc>
          <w:tcPr>
            <w:tcW w:w="4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01"/>
        </w:trPr>
        <w:tc>
          <w:tcPr>
            <w:tcW w:w="46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10" w:name="page111"/>
    <w:bookmarkEnd w:id="110"/>
    <w:p>
      <w:pPr>
        <w:ind w:right="640"/>
        <w:spacing w:after="0" w:line="281" w:lineRule="auto"/>
        <w:rPr>
          <w:sz w:val="20"/>
          <w:szCs w:val="20"/>
          <w:color w:val="auto"/>
        </w:rPr>
      </w:pPr>
      <w:r>
        <w:rPr>
          <w:rFonts w:ascii="Times New Roman" w:cs="Times New Roman" w:eastAsia="Times New Roman" w:hAnsi="Times New Roman"/>
          <w:sz w:val="18"/>
          <w:szCs w:val="18"/>
          <w:color w:val="auto"/>
        </w:rPr>
        <w:t>The following table presents the projected benefit obligation, accumulated benefit obligation and fair value of plan assets for our plans that have an accumulated benefit obligation in excess of plan assets as of December 31, 2022 and 2021.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4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69"/>
        </w:trPr>
        <w:tc>
          <w:tcPr>
            <w:tcW w:w="464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w:t>
            </w: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U.K.</w:t>
            </w:r>
          </w:p>
        </w:tc>
        <w:tc>
          <w:tcPr>
            <w:tcW w:w="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U.K.</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236"/>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at end of year</w:t>
            </w:r>
          </w:p>
        </w:tc>
        <w:tc>
          <w:tcPr>
            <w:tcW w:w="600" w:type="dxa"/>
            <w:vAlign w:val="bottom"/>
            <w:shd w:val="clear" w:color="auto" w:fill="CFF0FC"/>
          </w:tcPr>
          <w:p>
            <w:pPr>
              <w:jc w:val="right"/>
              <w:ind w:right="41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6"/>
              </w:rPr>
              <w:t>939</w:t>
            </w: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47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45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238</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5,096</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458</w:t>
            </w:r>
          </w:p>
        </w:tc>
      </w:tr>
      <w:tr>
        <w:trPr>
          <w:trHeight w:val="238"/>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 at end of year</w:t>
            </w:r>
          </w:p>
        </w:tc>
        <w:tc>
          <w:tcPr>
            <w:tcW w:w="600" w:type="dxa"/>
            <w:vAlign w:val="bottom"/>
          </w:tcPr>
          <w:p>
            <w:pPr>
              <w:jc w:val="right"/>
              <w:ind w:right="41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939</w:t>
            </w:r>
          </w:p>
        </w:tc>
        <w:tc>
          <w:tcPr>
            <w:tcW w:w="780" w:type="dxa"/>
            <w:vAlign w:val="bottom"/>
            <w:gridSpan w:val="2"/>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760" w:type="dxa"/>
            <w:vAlign w:val="bottom"/>
            <w:gridSpan w:val="2"/>
          </w:tcPr>
          <w:p>
            <w:pPr>
              <w:jc w:val="right"/>
              <w:ind w:right="45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228</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5,096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437</w:t>
            </w:r>
          </w:p>
        </w:tc>
      </w:tr>
      <w:tr>
        <w:trPr>
          <w:trHeight w:val="247"/>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600" w:type="dxa"/>
            <w:vAlign w:val="bottom"/>
            <w:shd w:val="clear" w:color="auto" w:fill="CFF0FC"/>
          </w:tcPr>
          <w:p>
            <w:pPr>
              <w:jc w:val="right"/>
              <w:ind w:right="41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6"/>
              </w:rPr>
              <w:t>713</w:t>
            </w:r>
          </w:p>
        </w:tc>
        <w:tc>
          <w:tcPr>
            <w:tcW w:w="780" w:type="dxa"/>
            <w:vAlign w:val="bottom"/>
            <w:gridSpan w:val="2"/>
            <w:shd w:val="clear" w:color="auto" w:fill="CFF0FC"/>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45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106</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4,710</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228</w:t>
            </w:r>
          </w:p>
        </w:tc>
      </w:tr>
    </w:tbl>
    <w:p>
      <w:pPr>
        <w:spacing w:after="0" w:line="143" w:lineRule="exact"/>
        <w:rPr>
          <w:sz w:val="20"/>
          <w:szCs w:val="20"/>
          <w:color w:val="auto"/>
        </w:rPr>
      </w:pPr>
    </w:p>
    <w:p>
      <w:pPr>
        <w:jc w:val="both"/>
        <w:ind w:right="140"/>
        <w:spacing w:after="0" w:line="281" w:lineRule="auto"/>
        <w:rPr>
          <w:sz w:val="20"/>
          <w:szCs w:val="20"/>
          <w:color w:val="auto"/>
        </w:rPr>
      </w:pPr>
      <w:r>
        <w:rPr>
          <w:rFonts w:ascii="Times New Roman" w:cs="Times New Roman" w:eastAsia="Times New Roman" w:hAnsi="Times New Roman"/>
          <w:sz w:val="18"/>
          <w:szCs w:val="18"/>
          <w:color w:val="auto"/>
        </w:rPr>
        <w:t>The components of the net periodic benefit income and other amounts recognized in other comprehensive (income)/loss for the years ended December 31, 2022, 2021 and 2020 for the defined benefit pension plans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U.K.</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3"/>
                <w:szCs w:val="13"/>
                <w:b w:val="1"/>
                <w:bCs w:val="1"/>
                <w:color w:val="auto"/>
              </w:rPr>
              <w:t>U.S.</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U.K.</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3"/>
                <w:szCs w:val="13"/>
                <w:b w:val="1"/>
                <w:bCs w:val="1"/>
                <w:color w:val="auto"/>
              </w:rPr>
              <w:t>U.S.</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U.K.</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3"/>
                <w:szCs w:val="13"/>
                <w:b w:val="1"/>
                <w:bCs w:val="1"/>
                <w:color w:val="auto"/>
              </w:rPr>
              <w:t>Other</w:t>
            </w:r>
          </w:p>
        </w:tc>
        <w:tc>
          <w:tcPr>
            <w:tcW w:w="0" w:type="dxa"/>
            <w:vAlign w:val="bottom"/>
          </w:tcPr>
          <w:p>
            <w:pPr>
              <w:spacing w:after="0"/>
              <w:rPr>
                <w:sz w:val="1"/>
                <w:szCs w:val="1"/>
                <w:color w:val="auto"/>
              </w:rPr>
            </w:pPr>
          </w:p>
        </w:tc>
      </w:tr>
      <w:tr>
        <w:trPr>
          <w:trHeight w:val="124"/>
        </w:trPr>
        <w:tc>
          <w:tcPr>
            <w:tcW w:w="3220" w:type="dxa"/>
            <w:vAlign w:val="bottom"/>
            <w:shd w:val="clear" w:color="auto" w:fill="CFF0FC"/>
          </w:tcPr>
          <w:p>
            <w:pPr>
              <w:ind w:left="20"/>
              <w:spacing w:after="0" w:line="124" w:lineRule="exact"/>
              <w:rPr>
                <w:sz w:val="20"/>
                <w:szCs w:val="20"/>
                <w:color w:val="auto"/>
              </w:rPr>
            </w:pPr>
            <w:r>
              <w:rPr>
                <w:rFonts w:ascii="Times New Roman" w:cs="Times New Roman" w:eastAsia="Times New Roman" w:hAnsi="Times New Roman"/>
                <w:sz w:val="13"/>
                <w:szCs w:val="13"/>
                <w:color w:val="auto"/>
              </w:rPr>
              <w:t>Components of net periodic</w:t>
            </w:r>
          </w:p>
        </w:tc>
        <w:tc>
          <w:tcPr>
            <w:tcW w:w="1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benefit (income)/cost:</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2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Service cost</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79</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75"/>
        </w:trPr>
        <w:tc>
          <w:tcPr>
            <w:tcW w:w="3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Interest cost</w:t>
            </w: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30"/>
        </w:trPr>
        <w:tc>
          <w:tcPr>
            <w:tcW w:w="322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auto"/>
              </w:rPr>
              <w:t>Expected return on plan</w:t>
            </w:r>
          </w:p>
        </w:tc>
        <w:tc>
          <w:tcPr>
            <w:tcW w:w="1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(331 )</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(144 )</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(312 )</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(170 )</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(291 )</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(247 )</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0" w:type="dxa"/>
            <w:vAlign w:val="bottom"/>
          </w:tcPr>
          <w:p>
            <w:pPr>
              <w:spacing w:after="0"/>
              <w:rPr>
                <w:sz w:val="1"/>
                <w:szCs w:val="1"/>
                <w:color w:val="auto"/>
              </w:rPr>
            </w:pPr>
          </w:p>
        </w:tc>
      </w:tr>
      <w:tr>
        <w:trPr>
          <w:trHeight w:val="167"/>
        </w:trPr>
        <w:tc>
          <w:tcPr>
            <w:tcW w:w="32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assets</w:t>
            </w: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220" w:type="dxa"/>
            <w:vAlign w:val="bottom"/>
            <w:shd w:val="clear" w:color="auto" w:fill="CFF0FC"/>
          </w:tcPr>
          <w:p>
            <w:pPr>
              <w:ind w:left="160"/>
              <w:spacing w:after="0" w:line="130" w:lineRule="exact"/>
              <w:rPr>
                <w:sz w:val="20"/>
                <w:szCs w:val="20"/>
                <w:color w:val="auto"/>
              </w:rPr>
            </w:pPr>
            <w:r>
              <w:rPr>
                <w:rFonts w:ascii="Times New Roman" w:cs="Times New Roman" w:eastAsia="Times New Roman" w:hAnsi="Times New Roman"/>
                <w:sz w:val="13"/>
                <w:szCs w:val="13"/>
                <w:color w:val="auto"/>
              </w:rPr>
              <w:t>Amortization of unrecognized</w:t>
            </w:r>
          </w:p>
        </w:tc>
        <w:tc>
          <w:tcPr>
            <w:tcW w:w="16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3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prior service (credit)/cost</w:t>
            </w:r>
          </w:p>
        </w:tc>
        <w:tc>
          <w:tcPr>
            <w:tcW w:w="16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22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auto"/>
              </w:rPr>
              <w:t>Amortization of unrecognized</w:t>
            </w:r>
          </w:p>
        </w:tc>
        <w:tc>
          <w:tcPr>
            <w:tcW w:w="160" w:type="dxa"/>
            <w:vAlign w:val="bottom"/>
          </w:tcPr>
          <w:p>
            <w:pPr>
              <w:spacing w:after="0"/>
              <w:rPr>
                <w:sz w:val="11"/>
                <w:szCs w:val="11"/>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67"/>
        </w:trPr>
        <w:tc>
          <w:tcPr>
            <w:tcW w:w="32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actuarial loss</w:t>
            </w: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Settlement</w:t>
            </w: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5"/>
        </w:trPr>
        <w:tc>
          <w:tcPr>
            <w:tcW w:w="32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Curtailment gain</w:t>
            </w:r>
          </w:p>
        </w:tc>
        <w:tc>
          <w:tcPr>
            <w:tcW w:w="16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32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Other</w:t>
            </w:r>
          </w:p>
        </w:tc>
        <w:tc>
          <w:tcPr>
            <w:tcW w:w="16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3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periodic benefit (income)/cost</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(117 )</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(86 )</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(150 )</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24"/>
        </w:trPr>
        <w:tc>
          <w:tcPr>
            <w:tcW w:w="3220" w:type="dxa"/>
            <w:vAlign w:val="bottom"/>
            <w:shd w:val="clear" w:color="auto" w:fill="CFF0FC"/>
          </w:tcPr>
          <w:p>
            <w:pPr>
              <w:ind w:left="160"/>
              <w:spacing w:after="0" w:line="124" w:lineRule="exact"/>
              <w:rPr>
                <w:sz w:val="20"/>
                <w:szCs w:val="20"/>
                <w:color w:val="auto"/>
              </w:rPr>
            </w:pPr>
            <w:r>
              <w:rPr>
                <w:rFonts w:ascii="Times New Roman" w:cs="Times New Roman" w:eastAsia="Times New Roman" w:hAnsi="Times New Roman"/>
                <w:sz w:val="13"/>
                <w:szCs w:val="13"/>
                <w:color w:val="auto"/>
              </w:rPr>
              <w:t>Other changes in plan assets</w:t>
            </w:r>
          </w:p>
        </w:tc>
        <w:tc>
          <w:tcPr>
            <w:tcW w:w="16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20" w:type="dxa"/>
            <w:vAlign w:val="bottom"/>
            <w:shd w:val="clear" w:color="auto" w:fill="CFF0FC"/>
          </w:tcPr>
          <w:p>
            <w:pPr>
              <w:ind w:left="300"/>
              <w:spacing w:after="0" w:line="135" w:lineRule="exact"/>
              <w:rPr>
                <w:sz w:val="20"/>
                <w:szCs w:val="20"/>
                <w:color w:val="auto"/>
              </w:rPr>
            </w:pPr>
            <w:r>
              <w:rPr>
                <w:rFonts w:ascii="Times New Roman" w:cs="Times New Roman" w:eastAsia="Times New Roman" w:hAnsi="Times New Roman"/>
                <w:sz w:val="13"/>
                <w:szCs w:val="13"/>
                <w:color w:val="auto"/>
              </w:rPr>
              <w:t>and benefit obligations</w:t>
            </w: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shd w:val="clear" w:color="auto" w:fill="CFF0FC"/>
          </w:tcPr>
          <w:p>
            <w:pPr>
              <w:ind w:left="300"/>
              <w:spacing w:after="0" w:line="135" w:lineRule="exact"/>
              <w:rPr>
                <w:sz w:val="20"/>
                <w:szCs w:val="20"/>
                <w:color w:val="auto"/>
              </w:rPr>
            </w:pPr>
            <w:r>
              <w:rPr>
                <w:rFonts w:ascii="Times New Roman" w:cs="Times New Roman" w:eastAsia="Times New Roman" w:hAnsi="Times New Roman"/>
                <w:sz w:val="13"/>
                <w:szCs w:val="13"/>
                <w:color w:val="auto"/>
              </w:rPr>
              <w:t>recognized in other</w:t>
            </w: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comprehensive (income)/loss:</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2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actuarial (gain)/loss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(161 )</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332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(59 )</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(328 )</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140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(61 )</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151</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30"/>
        </w:trPr>
        <w:tc>
          <w:tcPr>
            <w:tcW w:w="3220" w:type="dxa"/>
            <w:vAlign w:val="bottom"/>
            <w:shd w:val="clear" w:color="auto" w:fill="CFF0FC"/>
          </w:tcPr>
          <w:p>
            <w:pPr>
              <w:ind w:left="160"/>
              <w:spacing w:after="0" w:line="130" w:lineRule="exact"/>
              <w:rPr>
                <w:sz w:val="20"/>
                <w:szCs w:val="20"/>
                <w:color w:val="auto"/>
              </w:rPr>
            </w:pPr>
            <w:r>
              <w:rPr>
                <w:rFonts w:ascii="Times New Roman" w:cs="Times New Roman" w:eastAsia="Times New Roman" w:hAnsi="Times New Roman"/>
                <w:sz w:val="13"/>
                <w:szCs w:val="13"/>
                <w:color w:val="auto"/>
              </w:rPr>
              <w:t>Amortization of unrecognized</w:t>
            </w:r>
          </w:p>
        </w:tc>
        <w:tc>
          <w:tcPr>
            <w:tcW w:w="16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167"/>
        </w:trPr>
        <w:tc>
          <w:tcPr>
            <w:tcW w:w="32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actuarial loss</w:t>
            </w:r>
          </w:p>
        </w:tc>
        <w:tc>
          <w:tcPr>
            <w:tcW w:w="16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2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Prior service cost</w:t>
            </w:r>
          </w:p>
        </w:tc>
        <w:tc>
          <w:tcPr>
            <w:tcW w:w="16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0"/>
        </w:trPr>
        <w:tc>
          <w:tcPr>
            <w:tcW w:w="3220" w:type="dxa"/>
            <w:vAlign w:val="bottom"/>
            <w:shd w:val="clear" w:color="auto" w:fill="CFF0FC"/>
          </w:tcPr>
          <w:p>
            <w:pPr>
              <w:ind w:left="160"/>
              <w:spacing w:after="0" w:line="130" w:lineRule="exact"/>
              <w:rPr>
                <w:sz w:val="20"/>
                <w:szCs w:val="20"/>
                <w:color w:val="auto"/>
              </w:rPr>
            </w:pPr>
            <w:r>
              <w:rPr>
                <w:rFonts w:ascii="Times New Roman" w:cs="Times New Roman" w:eastAsia="Times New Roman" w:hAnsi="Times New Roman"/>
                <w:sz w:val="13"/>
                <w:szCs w:val="13"/>
                <w:color w:val="auto"/>
              </w:rPr>
              <w:t>Amortization of unrecognized</w:t>
            </w:r>
          </w:p>
        </w:tc>
        <w:tc>
          <w:tcPr>
            <w:tcW w:w="16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3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prior service credit/(cost)</w:t>
            </w:r>
          </w:p>
        </w:tc>
        <w:tc>
          <w:tcPr>
            <w:tcW w:w="16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2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Settlement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75"/>
        </w:trPr>
        <w:tc>
          <w:tcPr>
            <w:tcW w:w="3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Curtailment gain</w:t>
            </w: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32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Plan (disposal)/addition</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4"/>
        </w:trPr>
        <w:tc>
          <w:tcPr>
            <w:tcW w:w="3220" w:type="dxa"/>
            <w:vAlign w:val="bottom"/>
            <w:shd w:val="clear" w:color="auto" w:fill="CFF0FC"/>
          </w:tcPr>
          <w:p>
            <w:pPr>
              <w:ind w:left="20"/>
              <w:spacing w:after="0" w:line="124" w:lineRule="exact"/>
              <w:rPr>
                <w:sz w:val="20"/>
                <w:szCs w:val="20"/>
                <w:color w:val="auto"/>
              </w:rPr>
            </w:pPr>
            <w:r>
              <w:rPr>
                <w:rFonts w:ascii="Times New Roman" w:cs="Times New Roman" w:eastAsia="Times New Roman" w:hAnsi="Times New Roman"/>
                <w:sz w:val="13"/>
                <w:szCs w:val="13"/>
                <w:color w:val="auto"/>
              </w:rPr>
              <w:t>Total recognized in other</w:t>
            </w:r>
          </w:p>
        </w:tc>
        <w:tc>
          <w:tcPr>
            <w:tcW w:w="16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(179 )</w:t>
            </w: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314</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(62 )</w:t>
            </w: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(366 )</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53"/>
        </w:trPr>
        <w:tc>
          <w:tcPr>
            <w:tcW w:w="32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comprehensive (income)/loss</w:t>
            </w:r>
          </w:p>
        </w:tc>
        <w:tc>
          <w:tcPr>
            <w:tcW w:w="16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220" w:type="dxa"/>
            <w:vAlign w:val="bottom"/>
          </w:tcPr>
          <w:p>
            <w:pPr>
              <w:ind w:left="20"/>
              <w:spacing w:after="0" w:line="124" w:lineRule="exact"/>
              <w:rPr>
                <w:sz w:val="20"/>
                <w:szCs w:val="20"/>
                <w:color w:val="auto"/>
              </w:rPr>
            </w:pPr>
            <w:r>
              <w:rPr>
                <w:rFonts w:ascii="Times New Roman" w:cs="Times New Roman" w:eastAsia="Times New Roman" w:hAnsi="Times New Roman"/>
                <w:sz w:val="13"/>
                <w:szCs w:val="13"/>
                <w:color w:val="auto"/>
              </w:rPr>
              <w:t>Total recognized in net periodic</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2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benefit (income)/cost and other</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(296 )</w:t>
            </w:r>
          </w:p>
        </w:tc>
        <w:tc>
          <w:tcPr>
            <w:tcW w:w="2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270</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2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(466 )</w:t>
            </w:r>
          </w:p>
        </w:tc>
        <w:tc>
          <w:tcPr>
            <w:tcW w:w="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110</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26"/>
        </w:trPr>
        <w:tc>
          <w:tcPr>
            <w:tcW w:w="3220" w:type="dxa"/>
            <w:vAlign w:val="bottom"/>
          </w:tcPr>
          <w:p>
            <w:pPr>
              <w:ind w:left="140"/>
              <w:spacing w:after="0" w:line="106" w:lineRule="exact"/>
              <w:rPr>
                <w:sz w:val="20"/>
                <w:szCs w:val="20"/>
                <w:color w:val="auto"/>
              </w:rPr>
            </w:pPr>
            <w:r>
              <w:rPr>
                <w:rFonts w:ascii="Times New Roman" w:cs="Times New Roman" w:eastAsia="Times New Roman" w:hAnsi="Times New Roman"/>
                <w:sz w:val="12"/>
                <w:szCs w:val="12"/>
                <w:color w:val="auto"/>
              </w:rPr>
              <w:t>comprehensive (income)/loss</w:t>
            </w:r>
          </w:p>
        </w:tc>
        <w:tc>
          <w:tcPr>
            <w:tcW w:w="1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2556510</wp:posOffset>
            </wp:positionH>
            <wp:positionV relativeFrom="paragraph">
              <wp:posOffset>-1891665</wp:posOffset>
            </wp:positionV>
            <wp:extent cx="76835" cy="12827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3147695</wp:posOffset>
            </wp:positionH>
            <wp:positionV relativeFrom="paragraph">
              <wp:posOffset>-1891665</wp:posOffset>
            </wp:positionV>
            <wp:extent cx="76835" cy="12827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-1891665</wp:posOffset>
            </wp:positionV>
            <wp:extent cx="76835" cy="12827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-1891665</wp:posOffset>
            </wp:positionV>
            <wp:extent cx="68580" cy="12827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-1891665</wp:posOffset>
            </wp:positionV>
            <wp:extent cx="68580" cy="12827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-1891665</wp:posOffset>
            </wp:positionV>
            <wp:extent cx="68580" cy="12827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-1891665</wp:posOffset>
            </wp:positionV>
            <wp:extent cx="68580" cy="12827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-1891665</wp:posOffset>
            </wp:positionV>
            <wp:extent cx="68580" cy="12827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2556510</wp:posOffset>
            </wp:positionH>
            <wp:positionV relativeFrom="paragraph">
              <wp:posOffset>-281940</wp:posOffset>
            </wp:positionV>
            <wp:extent cx="76835" cy="28257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6835" cy="282575"/>
                    </a:xfrm>
                    <a:prstGeom prst="rect">
                      <a:avLst/>
                    </a:prstGeom>
                    <a:noFill/>
                  </pic:spPr>
                </pic:pic>
              </a:graphicData>
            </a:graphic>
          </wp:anchor>
        </w:drawing>
        <w:drawing>
          <wp:anchor simplePos="0" relativeHeight="251657728" behindDoc="1" locked="0" layoutInCell="0" allowOverlap="1">
            <wp:simplePos x="0" y="0"/>
            <wp:positionH relativeFrom="column">
              <wp:posOffset>3147695</wp:posOffset>
            </wp:positionH>
            <wp:positionV relativeFrom="paragraph">
              <wp:posOffset>-281940</wp:posOffset>
            </wp:positionV>
            <wp:extent cx="76835" cy="28257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6835" cy="28257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-281940</wp:posOffset>
            </wp:positionV>
            <wp:extent cx="76835" cy="28257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6835" cy="28257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-281940</wp:posOffset>
            </wp:positionV>
            <wp:extent cx="68580" cy="28257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-281940</wp:posOffset>
            </wp:positionV>
            <wp:extent cx="68580" cy="28257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-281940</wp:posOffset>
            </wp:positionV>
            <wp:extent cx="68580" cy="28257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-281940</wp:posOffset>
            </wp:positionV>
            <wp:extent cx="68580" cy="28257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-281940</wp:posOffset>
            </wp:positionV>
            <wp:extent cx="68580" cy="28257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580" cy="282575"/>
                    </a:xfrm>
                    <a:prstGeom prst="rect">
                      <a:avLst/>
                    </a:prstGeom>
                    <a:noFill/>
                  </pic:spPr>
                </pic:pic>
              </a:graphicData>
            </a:graphic>
          </wp:anchor>
        </w:drawing>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 Used in the Valuations of the Defined Benefit Pension Plans</w:t>
      </w:r>
    </w:p>
    <w:p>
      <w:pPr>
        <w:spacing w:after="0" w:line="17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determination of the Company’s obligations and annual expense under the plans is based on a number of assumptions that, given the longevity of the plans, are long-term in focus. A change in one or a combination of these assumptions could have a material impact on our projected benefit obligation. However, certain of these changes, such as changes in the discount rate and actuarial assumptions, are not recognized immediately in net income, but are instead recorded in other comprehensive income. The accumulated gains and losses not yet recognized in net income are amortized into net income as a component of the net periodic benefit cost/(income) generally based on the average working life expectancy or remaining life expectancy, where appropriate, of each of the plan’s active participants to the extent that the net gains or losses as of the beginning of the year exceed 10% of the greater of the market-related value of plan assets or the projected benefit obligation.</w:t>
      </w:r>
    </w:p>
    <w:p>
      <w:pPr>
        <w:spacing w:after="0" w:line="13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 considers several factors prior to the start of each fiscal year when determining the appropriate annual assumptions, including economic forecasts, relevant benchmarks, historical trends, portfolio composition and peer company comparisons. These assumptions, used to determine our pension liabilities and pension expense, are reviewed annually by senior management and changed when appropriate. A discount rate will be changed annually if underlying rates have moved, whereas an expected long-term return on assets will be changed less frequently as longer-term trends in asset returns emerge or long-term target asset allocations are revised. To calculate the discount rate, we use the granular approach to determining service and interest costs. The expected rate of return assumptions for all plans are supported by an analysis of the weighted-average yield expected to be achieved based upon the anticipated makeup of the plans’ investments. Other material assumptions include rates of participant mortality, and the expected long-term rate of compensation and pension increases.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11" w:name="page112"/>
    <w:bookmarkEnd w:id="111"/>
    <w:p>
      <w:pPr>
        <w:jc w:val="both"/>
        <w:ind w:right="220"/>
        <w:spacing w:after="0" w:line="288" w:lineRule="auto"/>
        <w:rPr>
          <w:sz w:val="20"/>
          <w:szCs w:val="20"/>
          <w:color w:val="auto"/>
        </w:rPr>
      </w:pPr>
      <w:r>
        <w:rPr>
          <w:rFonts w:ascii="Times New Roman" w:cs="Times New Roman" w:eastAsia="Times New Roman" w:hAnsi="Times New Roman"/>
          <w:sz w:val="17"/>
          <w:szCs w:val="17"/>
          <w:color w:val="auto"/>
        </w:rPr>
        <w:t>The following assumptions were used in the valuations of WTW’s defined benefit pension plans. The assumptions presented for the U.S. plans represent the weighted-average of rates for all U.S. plans. The assumptions presented for the U.K. plans represent the weighted-average of rates for the U.K. plans. The assumptions presented for the Other plans represent the weighted-average of rates for the Canada, France, Germany, Switzerland and Ireland plans.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assumptions used to determine net periodic benefit cost for the fiscal years ended December 31, 2022, 2021 and 2020 were as follows:</w:t>
      </w:r>
    </w:p>
    <w:p>
      <w:pPr>
        <w:sectPr>
          <w:pgSz w:w="11900" w:h="16838" w:orient="portrait"/>
          <w:cols w:equalWidth="0" w:num="1">
            <w:col w:w="11240"/>
          </w:cols>
          <w:pgMar w:left="320" w:top="5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Discount rate - PBO</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Discount rate - service cost</w:t>
      </w:r>
    </w:p>
    <w:p>
      <w:pPr>
        <w:spacing w:after="0" w:line="26" w:lineRule="exact"/>
        <w:rPr>
          <w:sz w:val="20"/>
          <w:szCs w:val="20"/>
          <w:color w:val="auto"/>
        </w:rPr>
      </w:pPr>
    </w:p>
    <w:p>
      <w:pPr>
        <w:ind w:left="120" w:right="760" w:hanging="93"/>
        <w:spacing w:after="0" w:line="239" w:lineRule="auto"/>
        <w:rPr>
          <w:sz w:val="20"/>
          <w:szCs w:val="20"/>
          <w:color w:val="auto"/>
        </w:rPr>
      </w:pPr>
      <w:r>
        <w:rPr>
          <w:rFonts w:ascii="Times New Roman" w:cs="Times New Roman" w:eastAsia="Times New Roman" w:hAnsi="Times New Roman"/>
          <w:sz w:val="13"/>
          <w:szCs w:val="13"/>
          <w:color w:val="auto"/>
        </w:rPr>
        <w:t>Discount rate - interest cost on service cost</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Discount rate - interest cost on PBO</w:t>
      </w:r>
    </w:p>
    <w:p>
      <w:pPr>
        <w:spacing w:after="0" w:line="35" w:lineRule="exact"/>
        <w:rPr>
          <w:sz w:val="20"/>
          <w:szCs w:val="20"/>
          <w:color w:val="auto"/>
        </w:rPr>
      </w:pPr>
    </w:p>
    <w:p>
      <w:pPr>
        <w:ind w:left="120" w:right="620" w:hanging="93"/>
        <w:spacing w:after="0" w:line="239" w:lineRule="auto"/>
        <w:rPr>
          <w:sz w:val="20"/>
          <w:szCs w:val="20"/>
          <w:color w:val="auto"/>
        </w:rPr>
      </w:pPr>
      <w:r>
        <w:rPr>
          <w:rFonts w:ascii="Times New Roman" w:cs="Times New Roman" w:eastAsia="Times New Roman" w:hAnsi="Times New Roman"/>
          <w:sz w:val="13"/>
          <w:szCs w:val="13"/>
          <w:color w:val="auto"/>
        </w:rPr>
        <w:t>Expected long-term rate of return on assets</w:t>
      </w:r>
    </w:p>
    <w:p>
      <w:pPr>
        <w:spacing w:after="0" w:line="1" w:lineRule="exact"/>
        <w:rPr>
          <w:sz w:val="20"/>
          <w:szCs w:val="20"/>
          <w:color w:val="auto"/>
        </w:rPr>
      </w:pPr>
    </w:p>
    <w:p>
      <w:pPr>
        <w:ind w:left="140" w:right="620" w:hanging="125"/>
        <w:spacing w:after="0" w:line="238" w:lineRule="auto"/>
        <w:rPr>
          <w:sz w:val="20"/>
          <w:szCs w:val="20"/>
          <w:color w:val="auto"/>
        </w:rPr>
      </w:pPr>
      <w:r>
        <w:rPr>
          <w:rFonts w:ascii="Times New Roman" w:cs="Times New Roman" w:eastAsia="Times New Roman" w:hAnsi="Times New Roman"/>
          <w:sz w:val="13"/>
          <w:szCs w:val="13"/>
          <w:color w:val="auto"/>
        </w:rPr>
        <w:t>Rate of increase in compensation levels</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3"/>
          <w:szCs w:val="13"/>
          <w:b w:val="1"/>
          <w:bCs w:val="1"/>
          <w:color w:val="auto"/>
        </w:rPr>
        <w:t>Years ended December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r>
      <w:tr>
        <w:trPr>
          <w:trHeight w:val="169"/>
        </w:trPr>
        <w:tc>
          <w:tcPr>
            <w:tcW w:w="82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U.S.</w:t>
            </w:r>
          </w:p>
        </w:tc>
        <w:tc>
          <w:tcPr>
            <w:tcW w:w="120" w:type="dxa"/>
            <w:vAlign w:val="bottom"/>
          </w:tcPr>
          <w:p>
            <w:pPr>
              <w:spacing w:after="0"/>
              <w:rPr>
                <w:sz w:val="14"/>
                <w:szCs w:val="14"/>
                <w:color w:val="auto"/>
              </w:rPr>
            </w:pPr>
          </w:p>
        </w:tc>
        <w:tc>
          <w:tcPr>
            <w:tcW w:w="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3"/>
                <w:szCs w:val="13"/>
                <w:b w:val="1"/>
                <w:bCs w:val="1"/>
                <w:color w:val="auto"/>
              </w:rPr>
              <w:t>U.K.</w:t>
            </w:r>
          </w:p>
        </w:tc>
        <w:tc>
          <w:tcPr>
            <w:tcW w:w="120" w:type="dxa"/>
            <w:vAlign w:val="bottom"/>
          </w:tcPr>
          <w:p>
            <w:pPr>
              <w:spacing w:after="0"/>
              <w:rPr>
                <w:sz w:val="14"/>
                <w:szCs w:val="14"/>
                <w:color w:val="auto"/>
              </w:rPr>
            </w:pPr>
          </w:p>
        </w:tc>
        <w:tc>
          <w:tcPr>
            <w:tcW w:w="8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4"/>
                <w:szCs w:val="14"/>
                <w:color w:val="auto"/>
              </w:rPr>
            </w:pP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3"/>
                <w:szCs w:val="13"/>
                <w:b w:val="1"/>
                <w:bCs w:val="1"/>
                <w:color w:val="auto"/>
              </w:rPr>
              <w:t>U.S.</w:t>
            </w:r>
          </w:p>
        </w:tc>
        <w:tc>
          <w:tcPr>
            <w:tcW w:w="100" w:type="dxa"/>
            <w:vAlign w:val="bottom"/>
          </w:tcPr>
          <w:p>
            <w:pPr>
              <w:spacing w:after="0"/>
              <w:rPr>
                <w:sz w:val="14"/>
                <w:szCs w:val="14"/>
                <w:color w:val="auto"/>
              </w:rPr>
            </w:pPr>
          </w:p>
        </w:tc>
        <w:tc>
          <w:tcPr>
            <w:tcW w:w="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3"/>
                <w:szCs w:val="13"/>
                <w:b w:val="1"/>
                <w:bCs w:val="1"/>
                <w:color w:val="auto"/>
              </w:rPr>
              <w:t>U.K.</w:t>
            </w:r>
          </w:p>
        </w:tc>
        <w:tc>
          <w:tcPr>
            <w:tcW w:w="100" w:type="dxa"/>
            <w:vAlign w:val="bottom"/>
          </w:tcPr>
          <w:p>
            <w:pPr>
              <w:spacing w:after="0"/>
              <w:rPr>
                <w:sz w:val="14"/>
                <w:szCs w:val="14"/>
                <w:color w:val="auto"/>
              </w:rPr>
            </w:pPr>
          </w:p>
        </w:tc>
        <w:tc>
          <w:tcPr>
            <w:tcW w:w="8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4"/>
                <w:szCs w:val="14"/>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U.S.</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3"/>
                <w:szCs w:val="13"/>
                <w:b w:val="1"/>
                <w:bCs w:val="1"/>
                <w:color w:val="auto"/>
              </w:rPr>
              <w:t>U.K.</w:t>
            </w:r>
          </w:p>
        </w:tc>
        <w:tc>
          <w:tcPr>
            <w:tcW w:w="120" w:type="dxa"/>
            <w:vAlign w:val="bottom"/>
          </w:tcPr>
          <w:p>
            <w:pPr>
              <w:spacing w:after="0"/>
              <w:rPr>
                <w:sz w:val="14"/>
                <w:szCs w:val="14"/>
                <w:color w:val="auto"/>
              </w:rPr>
            </w:pPr>
          </w:p>
        </w:tc>
        <w:tc>
          <w:tcPr>
            <w:tcW w:w="8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Other</w:t>
            </w:r>
          </w:p>
        </w:tc>
      </w:tr>
      <w:tr>
        <w:trPr>
          <w:trHeight w:val="160"/>
        </w:trPr>
        <w:tc>
          <w:tcPr>
            <w:tcW w:w="8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2.1%</w:t>
            </w:r>
          </w:p>
        </w:tc>
      </w:tr>
      <w:tr>
        <w:trPr>
          <w:trHeight w:val="186"/>
        </w:trPr>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86"/>
        </w:trPr>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86"/>
        </w:trPr>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97"/>
        </w:trPr>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297"/>
        </w:trPr>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-899160</wp:posOffset>
            </wp:positionV>
            <wp:extent cx="7132320" cy="11112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-676910</wp:posOffset>
            </wp:positionV>
            <wp:extent cx="7132320" cy="18859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-377190</wp:posOffset>
            </wp:positionV>
            <wp:extent cx="7132320" cy="18859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42" w:lineRule="exact"/>
        <w:rPr>
          <w:sz w:val="20"/>
          <w:szCs w:val="20"/>
          <w:color w:val="auto"/>
        </w:rPr>
      </w:pPr>
    </w:p>
    <w:p>
      <w:pPr>
        <w:sectPr>
          <w:pgSz w:w="11900" w:h="16838" w:orient="portrait"/>
          <w:cols w:equalWidth="0" w:num="2">
            <w:col w:w="2320" w:space="720"/>
            <w:col w:w="8200"/>
          </w:cols>
          <w:pgMar w:left="320" w:top="526" w:right="339" w:bottom="1440" w:gutter="0" w:footer="0" w:header="0"/>
          <w:type w:val="continuous"/>
        </w:sect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The following tables present the assumptions used in the valuation to determine the projected benefit obligation for the fiscal years ended December 31, 2022 and 2021: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0" w:type="dxa"/>
            <w:vAlign w:val="bottom"/>
            <w:tcBorders>
              <w:bottom w:val="single" w:sz="8" w:color="auto"/>
            </w:tcBorders>
          </w:tcPr>
          <w:p>
            <w:pPr>
              <w:spacing w:after="0"/>
              <w:rPr>
                <w:sz w:val="16"/>
                <w:szCs w:val="16"/>
                <w:color w:val="auto"/>
              </w:rPr>
            </w:pPr>
          </w:p>
        </w:tc>
      </w:tr>
      <w:tr>
        <w:trPr>
          <w:trHeight w:val="169"/>
        </w:trPr>
        <w:tc>
          <w:tcPr>
            <w:tcW w:w="4640" w:type="dxa"/>
            <w:vAlign w:val="bottom"/>
          </w:tcPr>
          <w:p>
            <w:pPr>
              <w:spacing w:after="0"/>
              <w:rPr>
                <w:sz w:val="14"/>
                <w:szCs w:val="14"/>
                <w:color w:val="auto"/>
              </w:rPr>
            </w:pPr>
          </w:p>
        </w:tc>
        <w:tc>
          <w:tcPr>
            <w:tcW w:w="100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4"/>
                <w:szCs w:val="14"/>
                <w:color w:val="auto"/>
              </w:rPr>
            </w:pPr>
          </w:p>
        </w:tc>
        <w:tc>
          <w:tcPr>
            <w:tcW w:w="130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U.K.</w:t>
            </w:r>
          </w:p>
        </w:tc>
        <w:tc>
          <w:tcPr>
            <w:tcW w:w="8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4"/>
                <w:szCs w:val="14"/>
                <w:color w:val="auto"/>
              </w:rPr>
            </w:pPr>
          </w:p>
        </w:tc>
        <w:tc>
          <w:tcPr>
            <w:tcW w:w="98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U.K.</w:t>
            </w:r>
          </w:p>
        </w:tc>
        <w:tc>
          <w:tcPr>
            <w:tcW w:w="100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236"/>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of increase in compensation levels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bl>
    <w:p>
      <w:pPr>
        <w:spacing w:after="0" w:line="152"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The expected return on plan assets was determined on the basis of the weighted-average of the expected future returns of the various asset classes, using the target allocations shown below. The Company’s pension plan asset target allocations as of December 31, 2022 were as follows (note the French plan is unfunded):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U.S.</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U.K.</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Switzerland</w:t>
            </w:r>
          </w:p>
        </w:tc>
        <w:tc>
          <w:tcPr>
            <w:tcW w:w="120" w:type="dxa"/>
            <w:vAlign w:val="bottom"/>
          </w:tcPr>
          <w:p>
            <w:pPr>
              <w:spacing w:after="0"/>
              <w:rPr>
                <w:sz w:val="16"/>
                <w:szCs w:val="16"/>
                <w:color w:val="auto"/>
              </w:rPr>
            </w:pPr>
          </w:p>
        </w:tc>
        <w:tc>
          <w:tcPr>
            <w:tcW w:w="8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100" w:type="dxa"/>
            <w:vAlign w:val="bottom"/>
          </w:tcPr>
          <w:p>
            <w:pPr>
              <w:spacing w:after="0"/>
              <w:rPr>
                <w:sz w:val="16"/>
                <w:szCs w:val="16"/>
                <w:color w:val="auto"/>
              </w:rPr>
            </w:pPr>
          </w:p>
        </w:tc>
        <w:tc>
          <w:tcPr>
            <w:tcW w:w="8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Germany</w:t>
            </w:r>
          </w:p>
        </w:tc>
        <w:tc>
          <w:tcPr>
            <w:tcW w:w="120" w:type="dxa"/>
            <w:vAlign w:val="bottom"/>
          </w:tcPr>
          <w:p>
            <w:pPr>
              <w:spacing w:after="0"/>
              <w:rPr>
                <w:sz w:val="16"/>
                <w:szCs w:val="16"/>
                <w:color w:val="auto"/>
              </w:rPr>
            </w:pPr>
          </w:p>
        </w:tc>
        <w:tc>
          <w:tcPr>
            <w:tcW w:w="110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w w:val="94"/>
              </w:rPr>
              <w:t>Ireland</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110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WTW</w:t>
            </w:r>
          </w:p>
        </w:tc>
        <w:tc>
          <w:tcPr>
            <w:tcW w:w="68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Willis</w:t>
            </w:r>
          </w:p>
        </w:tc>
        <w:tc>
          <w:tcPr>
            <w:tcW w:w="100" w:type="dxa"/>
            <w:vAlign w:val="bottom"/>
          </w:tcPr>
          <w:p>
            <w:pPr>
              <w:spacing w:after="0"/>
              <w:rPr>
                <w:sz w:val="11"/>
                <w:szCs w:val="11"/>
                <w:color w:val="auto"/>
              </w:rPr>
            </w:pPr>
          </w:p>
        </w:tc>
        <w:tc>
          <w:tcPr>
            <w:tcW w:w="106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Willis</w:t>
            </w:r>
          </w:p>
        </w:tc>
        <w:tc>
          <w:tcPr>
            <w:tcW w:w="700" w:type="dxa"/>
            <w:vAlign w:val="bottom"/>
          </w:tcPr>
          <w:p>
            <w:pPr>
              <w:jc w:val="right"/>
              <w:ind w:right="115"/>
              <w:spacing w:after="0" w:line="131" w:lineRule="exact"/>
              <w:rPr>
                <w:sz w:val="20"/>
                <w:szCs w:val="20"/>
                <w:color w:val="auto"/>
              </w:rPr>
            </w:pPr>
            <w:r>
              <w:rPr>
                <w:rFonts w:ascii="Times New Roman" w:cs="Times New Roman" w:eastAsia="Times New Roman" w:hAnsi="Times New Roman"/>
                <w:sz w:val="14"/>
                <w:szCs w:val="14"/>
                <w:b w:val="1"/>
                <w:bCs w:val="1"/>
                <w:color w:val="auto"/>
              </w:rPr>
              <w:t>Towers</w:t>
            </w:r>
          </w:p>
        </w:tc>
        <w:tc>
          <w:tcPr>
            <w:tcW w:w="100" w:type="dxa"/>
            <w:vAlign w:val="bottom"/>
          </w:tcPr>
          <w:p>
            <w:pPr>
              <w:spacing w:after="0"/>
              <w:rPr>
                <w:sz w:val="11"/>
                <w:szCs w:val="11"/>
                <w:color w:val="auto"/>
              </w:rPr>
            </w:pPr>
          </w:p>
        </w:tc>
        <w:tc>
          <w:tcPr>
            <w:tcW w:w="94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WTW</w:t>
            </w:r>
          </w:p>
        </w:tc>
        <w:tc>
          <w:tcPr>
            <w:tcW w:w="120" w:type="dxa"/>
            <w:vAlign w:val="bottom"/>
          </w:tcPr>
          <w:p>
            <w:pPr>
              <w:spacing w:after="0"/>
              <w:rPr>
                <w:sz w:val="11"/>
                <w:szCs w:val="11"/>
                <w:color w:val="auto"/>
              </w:rPr>
            </w:pPr>
          </w:p>
        </w:tc>
        <w:tc>
          <w:tcPr>
            <w:tcW w:w="82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WTW</w:t>
            </w:r>
          </w:p>
        </w:tc>
        <w:tc>
          <w:tcPr>
            <w:tcW w:w="100" w:type="dxa"/>
            <w:vAlign w:val="bottom"/>
          </w:tcPr>
          <w:p>
            <w:pPr>
              <w:spacing w:after="0"/>
              <w:rPr>
                <w:sz w:val="11"/>
                <w:szCs w:val="11"/>
                <w:color w:val="auto"/>
              </w:rPr>
            </w:pPr>
          </w:p>
        </w:tc>
        <w:tc>
          <w:tcPr>
            <w:tcW w:w="82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WTW</w:t>
            </w:r>
          </w:p>
        </w:tc>
        <w:tc>
          <w:tcPr>
            <w:tcW w:w="120" w:type="dxa"/>
            <w:vAlign w:val="bottom"/>
          </w:tcPr>
          <w:p>
            <w:pPr>
              <w:spacing w:after="0"/>
              <w:rPr>
                <w:sz w:val="11"/>
                <w:szCs w:val="11"/>
                <w:color w:val="auto"/>
              </w:rPr>
            </w:pPr>
          </w:p>
        </w:tc>
        <w:tc>
          <w:tcPr>
            <w:tcW w:w="110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Willis</w:t>
            </w:r>
          </w:p>
        </w:tc>
        <w:tc>
          <w:tcPr>
            <w:tcW w:w="660" w:type="dxa"/>
            <w:vAlign w:val="bottom"/>
          </w:tcPr>
          <w:p>
            <w:pPr>
              <w:jc w:val="right"/>
              <w:ind w:right="115"/>
              <w:spacing w:after="0" w:line="131" w:lineRule="exact"/>
              <w:rPr>
                <w:sz w:val="20"/>
                <w:szCs w:val="20"/>
                <w:color w:val="auto"/>
              </w:rPr>
            </w:pPr>
            <w:r>
              <w:rPr>
                <w:rFonts w:ascii="Times New Roman" w:cs="Times New Roman" w:eastAsia="Times New Roman" w:hAnsi="Times New Roman"/>
                <w:sz w:val="14"/>
                <w:szCs w:val="14"/>
                <w:b w:val="1"/>
                <w:bCs w:val="1"/>
                <w:color w:val="auto"/>
                <w:w w:val="99"/>
              </w:rPr>
              <w:t>Towers</w:t>
            </w:r>
          </w:p>
        </w:tc>
        <w:tc>
          <w:tcPr>
            <w:tcW w:w="0" w:type="dxa"/>
            <w:vAlign w:val="bottom"/>
          </w:tcPr>
          <w:p>
            <w:pPr>
              <w:spacing w:after="0"/>
              <w:rPr>
                <w:sz w:val="1"/>
                <w:szCs w:val="1"/>
                <w:color w:val="auto"/>
              </w:rPr>
            </w:pPr>
          </w:p>
        </w:tc>
      </w:tr>
      <w:tr>
        <w:trPr>
          <w:trHeight w:val="187"/>
        </w:trPr>
        <w:tc>
          <w:tcPr>
            <w:tcW w:w="2820" w:type="dxa"/>
            <w:vAlign w:val="bottom"/>
            <w:gridSpan w:val="2"/>
            <w:vMerge w:val="continue"/>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70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Watson</w:t>
            </w: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6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Watson</w:t>
            </w:r>
          </w:p>
        </w:tc>
        <w:tc>
          <w:tcPr>
            <w:tcW w:w="0" w:type="dxa"/>
            <w:vAlign w:val="bottom"/>
          </w:tcPr>
          <w:p>
            <w:pPr>
              <w:spacing w:after="0"/>
              <w:rPr>
                <w:sz w:val="1"/>
                <w:szCs w:val="1"/>
                <w:color w:val="auto"/>
              </w:rPr>
            </w:pPr>
          </w:p>
        </w:tc>
      </w:tr>
      <w:tr>
        <w:trPr>
          <w:trHeight w:val="236"/>
        </w:trPr>
        <w:tc>
          <w:tcPr>
            <w:tcW w:w="27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8"/>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7"/>
        </w:trPr>
        <w:tc>
          <w:tcPr>
            <w:tcW w:w="2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21"/>
                <w:szCs w:val="21"/>
                <w:color w:val="auto"/>
              </w:rPr>
            </w:pPr>
          </w:p>
        </w:tc>
        <w:tc>
          <w:tcPr>
            <w:tcW w:w="10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6"/>
        </w:trPr>
        <w:tc>
          <w:tcPr>
            <w:tcW w:w="282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spacing w:after="0"/>
              <w:rPr>
                <w:sz w:val="24"/>
                <w:szCs w:val="24"/>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spacing w:after="0"/>
              <w:rPr>
                <w:sz w:val="24"/>
                <w:szCs w:val="24"/>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2308225</wp:posOffset>
            </wp:positionH>
            <wp:positionV relativeFrom="paragraph">
              <wp:posOffset>-24765</wp:posOffset>
            </wp:positionV>
            <wp:extent cx="7683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2308225</wp:posOffset>
            </wp:positionH>
            <wp:positionV relativeFrom="paragraph">
              <wp:posOffset>-7620</wp:posOffset>
            </wp:positionV>
            <wp:extent cx="7683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2915920</wp:posOffset>
            </wp:positionH>
            <wp:positionV relativeFrom="paragraph">
              <wp:posOffset>-24765</wp:posOffset>
            </wp:positionV>
            <wp:extent cx="6858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2915920</wp:posOffset>
            </wp:positionH>
            <wp:positionV relativeFrom="paragraph">
              <wp:posOffset>-7620</wp:posOffset>
            </wp:positionV>
            <wp:extent cx="6858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3507105</wp:posOffset>
            </wp:positionH>
            <wp:positionV relativeFrom="paragraph">
              <wp:posOffset>-24765</wp:posOffset>
            </wp:positionV>
            <wp:extent cx="6858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3507105</wp:posOffset>
            </wp:positionH>
            <wp:positionV relativeFrom="paragraph">
              <wp:posOffset>-7620</wp:posOffset>
            </wp:positionV>
            <wp:extent cx="685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-24765</wp:posOffset>
            </wp:positionV>
            <wp:extent cx="6858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-7620</wp:posOffset>
            </wp:positionV>
            <wp:extent cx="6858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-24765</wp:posOffset>
            </wp:positionV>
            <wp:extent cx="6858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-7620</wp:posOffset>
            </wp:positionV>
            <wp:extent cx="6858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-24765</wp:posOffset>
            </wp:positionV>
            <wp:extent cx="6858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-7620</wp:posOffset>
            </wp:positionV>
            <wp:extent cx="6858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-24765</wp:posOffset>
            </wp:positionV>
            <wp:extent cx="6858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-7620</wp:posOffset>
            </wp:positionV>
            <wp:extent cx="6858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-24765</wp:posOffset>
            </wp:positionV>
            <wp:extent cx="6858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-7620</wp:posOffset>
            </wp:positionV>
            <wp:extent cx="6858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7"/>
          <w:szCs w:val="17"/>
          <w:color w:val="auto"/>
        </w:rPr>
        <w:t>Our investment strategy is designed to generate returns that will reduce the interest rate risk inherent in each of the plan’s benefit obligations and enable the plans to meet their future obligations. The precise amount for which these obligations will be settled depends on future events, including the life expectancy of the plan participants and salary inflation. The obligations are estimated using actuarial assumptions based on the current economic environment.</w:t>
      </w:r>
    </w:p>
    <w:p>
      <w:pPr>
        <w:spacing w:after="0" w:line="10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Each pension plan seeks to achieve total returns sufficient to meet expected future obligations when considered in conjunction with expected future contributions and prudent levels of investment risk and diversification. Each plan’s targeted asset allocation is generally determined through a plan-specific asset-liability modeling study. These comprehensive studies provide an evaluation of the projected status of asset and benefit obligation measures for each plan under a range of both positive and negative factors. The studies include a number of different asset mixes, spanning a range of diversification and potential equity exposures.</w:t>
      </w:r>
    </w:p>
    <w:p>
      <w:pPr>
        <w:spacing w:after="0" w:line="128" w:lineRule="exact"/>
        <w:rPr>
          <w:sz w:val="20"/>
          <w:szCs w:val="20"/>
          <w:color w:val="auto"/>
        </w:rPr>
      </w:pPr>
    </w:p>
    <w:p>
      <w:pPr>
        <w:jc w:val="both"/>
        <w:ind w:right="240"/>
        <w:spacing w:after="0" w:line="260" w:lineRule="auto"/>
        <w:rPr>
          <w:sz w:val="20"/>
          <w:szCs w:val="20"/>
          <w:color w:val="auto"/>
        </w:rPr>
      </w:pPr>
      <w:r>
        <w:rPr>
          <w:rFonts w:ascii="Times New Roman" w:cs="Times New Roman" w:eastAsia="Times New Roman" w:hAnsi="Times New Roman"/>
          <w:sz w:val="18"/>
          <w:szCs w:val="18"/>
          <w:color w:val="auto"/>
        </w:rPr>
        <w:t>In evaluating the strategic asset allocation choices, an emphasis is placed on the long-term characteristics of each individual asset class, such as expected return, volatility of returns and correlations with other asset classes within the portfolios. Consideration is also given to the proper long-term level of risk for each plan, the impact of the volatility and magnitude of plan contributions and costs, and the impact that certain actuarial techniques may have on the plan’s recognition of investment experience.</w:t>
      </w:r>
    </w:p>
    <w:p>
      <w:pPr>
        <w:spacing w:after="0" w:line="128"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We monitor investment performance and portfolio characteristics on a quarterly basis to ensure that managers are meeting expectations with respect to their investment approach. There are also various restrictions and controls placed on managers, including prohibition from investing in our stock.</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i w:val="1"/>
          <w:iCs w:val="1"/>
          <w:color w:val="auto"/>
        </w:rPr>
        <w:t>Fair Value of Plan Assets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hierarchy has three levels based on the reliability of the inputs used to determine fair value:</w:t>
      </w:r>
    </w:p>
    <w:p>
      <w:pPr>
        <w:spacing w:after="0" w:line="171" w:lineRule="exact"/>
        <w:rPr>
          <w:sz w:val="20"/>
          <w:szCs w:val="20"/>
          <w:color w:val="auto"/>
        </w:rPr>
      </w:pPr>
    </w:p>
    <w:p>
      <w:pPr>
        <w:ind w:left="760" w:hanging="378"/>
        <w:spacing w:after="0"/>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refers to fair values determined based on quoted market prices in active markets for identical assets;</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refers to fair values estimated using observable market-based inputs or unobservable inputs that are corroborated by market data; and</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includes fair values estimated using unobservable inputs that are not corroborated by market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our U.S. plan assets by asset category at December 31, 2022 and 2021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169"/>
        </w:trPr>
        <w:tc>
          <w:tcPr>
            <w:tcW w:w="288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9"/>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640" w:type="dxa"/>
            <w:vAlign w:val="bottom"/>
            <w:shd w:val="clear" w:color="auto" w:fill="CFF0FC"/>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15</w:t>
            </w:r>
          </w:p>
        </w:tc>
        <w:tc>
          <w:tcPr>
            <w:tcW w:w="760" w:type="dxa"/>
            <w:vAlign w:val="bottom"/>
            <w:gridSpan w:val="2"/>
            <w:shd w:val="clear" w:color="auto" w:fill="CFF0FC"/>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r>
      <w:tr>
        <w:trPr>
          <w:trHeight w:val="238"/>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securities</w:t>
            </w:r>
          </w:p>
        </w:tc>
        <w:tc>
          <w:tcPr>
            <w:tcW w:w="640" w:type="dxa"/>
            <w:vAlign w:val="bottom"/>
          </w:tcPr>
          <w:p>
            <w:pPr>
              <w:spacing w:after="0"/>
              <w:rPr>
                <w:sz w:val="20"/>
                <w:szCs w:val="20"/>
                <w:color w:val="auto"/>
              </w:rPr>
            </w:pP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65</w:t>
            </w:r>
          </w:p>
        </w:tc>
      </w:tr>
      <w:tr>
        <w:trPr>
          <w:trHeight w:val="247"/>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Pooled/commingled funds</w:t>
            </w:r>
          </w:p>
        </w:tc>
        <w:tc>
          <w:tcPr>
            <w:tcW w:w="6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1,945</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2,788</w:t>
            </w:r>
          </w:p>
        </w:tc>
      </w:tr>
      <w:tr>
        <w:trPr>
          <w:trHeight w:val="238"/>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equity</w:t>
            </w:r>
          </w:p>
        </w:tc>
        <w:tc>
          <w:tcPr>
            <w:tcW w:w="640" w:type="dxa"/>
            <w:vAlign w:val="bottom"/>
          </w:tcPr>
          <w:p>
            <w:pPr>
              <w:spacing w:after="0"/>
              <w:rPr>
                <w:sz w:val="20"/>
                <w:szCs w:val="20"/>
                <w:color w:val="auto"/>
              </w:rPr>
            </w:pP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537</w:t>
            </w:r>
          </w:p>
        </w:tc>
      </w:tr>
      <w:tr>
        <w:trPr>
          <w:trHeight w:val="243"/>
        </w:trPr>
        <w:tc>
          <w:tcPr>
            <w:tcW w:w="2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Hedge funds</w:t>
            </w:r>
          </w:p>
        </w:tc>
        <w:tc>
          <w:tcPr>
            <w:tcW w:w="64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1,315</w:t>
            </w:r>
          </w:p>
        </w:tc>
      </w:tr>
      <w:tr>
        <w:trPr>
          <w:trHeight w:val="238"/>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40" w:type="dxa"/>
            <w:vAlign w:val="bottom"/>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15</w:t>
            </w:r>
          </w:p>
        </w:tc>
        <w:tc>
          <w:tcPr>
            <w:tcW w:w="76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89</w:t>
            </w:r>
          </w:p>
        </w:tc>
        <w:tc>
          <w:tcPr>
            <w:tcW w:w="76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3,821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4,710</w:t>
            </w:r>
          </w:p>
        </w:tc>
      </w:tr>
      <w:tr>
        <w:trPr>
          <w:trHeight w:val="20"/>
        </w:trPr>
        <w:tc>
          <w:tcPr>
            <w:tcW w:w="28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2436495</wp:posOffset>
            </wp:positionH>
            <wp:positionV relativeFrom="paragraph">
              <wp:posOffset>-187960</wp:posOffset>
            </wp:positionV>
            <wp:extent cx="76835" cy="18859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3121660</wp:posOffset>
            </wp:positionH>
            <wp:positionV relativeFrom="paragraph">
              <wp:posOffset>-187960</wp:posOffset>
            </wp:positionV>
            <wp:extent cx="76835" cy="18859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-187960</wp:posOffset>
            </wp:positionV>
            <wp:extent cx="76835" cy="18859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-187960</wp:posOffset>
            </wp:positionV>
            <wp:extent cx="68580" cy="18859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-187960</wp:posOffset>
            </wp:positionV>
            <wp:extent cx="68580" cy="18859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-187960</wp:posOffset>
            </wp:positionV>
            <wp:extent cx="68580" cy="18859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6461125</wp:posOffset>
            </wp:positionH>
            <wp:positionV relativeFrom="paragraph">
              <wp:posOffset>-187960</wp:posOffset>
            </wp:positionV>
            <wp:extent cx="68580" cy="18859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our U.K. plan assets by asset category at December 31, 2022 and 2021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169"/>
        </w:trPr>
        <w:tc>
          <w:tcPr>
            <w:tcW w:w="29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9"/>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45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389</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389</w:t>
            </w:r>
          </w:p>
        </w:tc>
      </w:tr>
      <w:tr>
        <w:trPr>
          <w:trHeight w:val="238"/>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160" w:type="dxa"/>
            <w:vAlign w:val="bottom"/>
          </w:tcPr>
          <w:p>
            <w:pPr>
              <w:spacing w:after="0"/>
              <w:rPr>
                <w:sz w:val="20"/>
                <w:szCs w:val="20"/>
                <w:color w:val="auto"/>
              </w:rPr>
            </w:pPr>
          </w:p>
        </w:tc>
        <w:tc>
          <w:tcPr>
            <w:tcW w:w="8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2,610</w:t>
            </w:r>
          </w:p>
        </w:tc>
      </w:tr>
      <w:tr>
        <w:trPr>
          <w:trHeight w:val="247"/>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504</w:t>
            </w:r>
          </w:p>
        </w:tc>
      </w:tr>
      <w:tr>
        <w:trPr>
          <w:trHeight w:val="238"/>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fixed income</w:t>
            </w:r>
          </w:p>
        </w:tc>
        <w:tc>
          <w:tcPr>
            <w:tcW w:w="160" w:type="dxa"/>
            <w:vAlign w:val="bottom"/>
          </w:tcPr>
          <w:p>
            <w:pPr>
              <w:spacing w:after="0"/>
              <w:rPr>
                <w:sz w:val="20"/>
                <w:szCs w:val="20"/>
                <w:color w:val="auto"/>
              </w:rPr>
            </w:pPr>
          </w:p>
        </w:tc>
        <w:tc>
          <w:tcPr>
            <w:tcW w:w="8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519</w:t>
            </w:r>
          </w:p>
        </w:tc>
      </w:tr>
      <w:tr>
        <w:trPr>
          <w:trHeight w:val="247"/>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Pooled/commingled funds</w:t>
            </w: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1,537</w:t>
            </w:r>
          </w:p>
        </w:tc>
      </w:tr>
      <w:tr>
        <w:trPr>
          <w:trHeight w:val="238"/>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60" w:type="dxa"/>
            <w:vAlign w:val="bottom"/>
          </w:tcPr>
          <w:p>
            <w:pPr>
              <w:spacing w:after="0"/>
              <w:rPr>
                <w:sz w:val="20"/>
                <w:szCs w:val="20"/>
                <w:color w:val="auto"/>
              </w:rPr>
            </w:pPr>
          </w:p>
        </w:tc>
        <w:tc>
          <w:tcPr>
            <w:tcW w:w="8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w:t>
            </w:r>
          </w:p>
        </w:tc>
      </w:tr>
      <w:tr>
        <w:trPr>
          <w:trHeight w:val="247"/>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Private equity</w:t>
            </w: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r>
      <w:tr>
        <w:trPr>
          <w:trHeight w:val="238"/>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160" w:type="dxa"/>
            <w:vAlign w:val="bottom"/>
          </w:tcPr>
          <w:p>
            <w:pPr>
              <w:spacing w:after="0"/>
              <w:rPr>
                <w:sz w:val="20"/>
                <w:szCs w:val="20"/>
                <w:color w:val="auto"/>
              </w:rPr>
            </w:pPr>
          </w:p>
        </w:tc>
        <w:tc>
          <w:tcPr>
            <w:tcW w:w="8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226</w:t>
            </w:r>
          </w:p>
        </w:tc>
      </w:tr>
      <w:tr>
        <w:trPr>
          <w:trHeight w:val="247"/>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152</w:t>
            </w:r>
          </w:p>
        </w:tc>
      </w:tr>
      <w:tr>
        <w:trPr>
          <w:trHeight w:val="238"/>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contracts</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69</w:t>
            </w:r>
          </w:p>
        </w:tc>
      </w:tr>
      <w:tr>
        <w:trPr>
          <w:trHeight w:val="278"/>
        </w:trPr>
        <w:tc>
          <w:tcPr>
            <w:tcW w:w="2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1,392</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753</w:t>
            </w:r>
          </w:p>
        </w:tc>
        <w:tc>
          <w:tcPr>
            <w:tcW w:w="12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auto"/>
            </w:tcBorders>
            <w:shd w:val="clear" w:color="auto" w:fill="CFF0FC"/>
          </w:tcPr>
          <w:p>
            <w:pPr>
              <w:jc w:val="right"/>
              <w:ind w:right="45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3,581</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2,999</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6,043</w:t>
            </w:r>
          </w:p>
        </w:tc>
      </w:tr>
      <w:tr>
        <w:trPr>
          <w:trHeight w:val="225"/>
        </w:trPr>
        <w:tc>
          <w:tcPr>
            <w:tcW w:w="2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3"/>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Liability category:</w:t>
            </w: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r>
      <w:tr>
        <w:trPr>
          <w:trHeight w:val="238"/>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agreements</w:t>
            </w:r>
          </w:p>
        </w:tc>
        <w:tc>
          <w:tcPr>
            <w:tcW w:w="160" w:type="dxa"/>
            <w:vAlign w:val="bottom"/>
          </w:tcPr>
          <w:p>
            <w:pPr>
              <w:spacing w:after="0"/>
              <w:rPr>
                <w:sz w:val="20"/>
                <w:szCs w:val="20"/>
                <w:color w:val="auto"/>
              </w:rPr>
            </w:pPr>
          </w:p>
        </w:tc>
        <w:tc>
          <w:tcPr>
            <w:tcW w:w="8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777</w:t>
            </w:r>
          </w:p>
        </w:tc>
      </w:tr>
      <w:tr>
        <w:trPr>
          <w:trHeight w:val="243"/>
        </w:trPr>
        <w:tc>
          <w:tcPr>
            <w:tcW w:w="2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1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1,392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171</w:t>
            </w:r>
          </w:p>
        </w:tc>
        <w:tc>
          <w:tcPr>
            <w:tcW w:w="760" w:type="dxa"/>
            <w:vAlign w:val="bottom"/>
            <w:gridSpan w:val="2"/>
          </w:tcPr>
          <w:p>
            <w:pPr>
              <w:jc w:val="right"/>
              <w:ind w:right="45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2,999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2,999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472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69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5,266</w:t>
            </w:r>
          </w:p>
        </w:tc>
      </w:tr>
      <w:tr>
        <w:trPr>
          <w:trHeight w:val="20"/>
        </w:trPr>
        <w:tc>
          <w:tcPr>
            <w:tcW w:w="2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2462530</wp:posOffset>
            </wp:positionH>
            <wp:positionV relativeFrom="paragraph">
              <wp:posOffset>-829945</wp:posOffset>
            </wp:positionV>
            <wp:extent cx="4067175" cy="17970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4067175" cy="179705"/>
                    </a:xfrm>
                    <a:prstGeom prst="rect">
                      <a:avLst/>
                    </a:prstGeom>
                    <a:noFill/>
                  </pic:spPr>
                </pic:pic>
              </a:graphicData>
            </a:graphic>
          </wp:anchor>
        </w:drawing>
        <w:drawing>
          <wp:anchor simplePos="0" relativeHeight="251657728" behindDoc="1" locked="0" layoutInCell="0" allowOverlap="1">
            <wp:simplePos x="0" y="0"/>
            <wp:positionH relativeFrom="column">
              <wp:posOffset>2462530</wp:posOffset>
            </wp:positionH>
            <wp:positionV relativeFrom="paragraph">
              <wp:posOffset>-187960</wp:posOffset>
            </wp:positionV>
            <wp:extent cx="76835" cy="18859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3147695</wp:posOffset>
            </wp:positionH>
            <wp:positionV relativeFrom="paragraph">
              <wp:posOffset>-187960</wp:posOffset>
            </wp:positionV>
            <wp:extent cx="76835" cy="18859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-187960</wp:posOffset>
            </wp:positionV>
            <wp:extent cx="68580" cy="18859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-187960</wp:posOffset>
            </wp:positionV>
            <wp:extent cx="68580" cy="18859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-187960</wp:posOffset>
            </wp:positionV>
            <wp:extent cx="68580" cy="18859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-187960</wp:posOffset>
            </wp:positionV>
            <wp:extent cx="68580" cy="18859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6461125</wp:posOffset>
            </wp:positionH>
            <wp:positionV relativeFrom="paragraph">
              <wp:posOffset>-187960</wp:posOffset>
            </wp:positionV>
            <wp:extent cx="68580" cy="18859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our Other plan assets by asset category at December 31, 2022 and 2021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8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640" w:type="dxa"/>
            <w:vAlign w:val="bottom"/>
            <w:shd w:val="clear" w:color="auto" w:fill="CFF0FC"/>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8"/>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Pooled/commingled funds</w:t>
            </w:r>
          </w:p>
        </w:tc>
        <w:tc>
          <w:tcPr>
            <w:tcW w:w="640" w:type="dxa"/>
            <w:vAlign w:val="bottom"/>
          </w:tcPr>
          <w:p>
            <w:pPr>
              <w:spacing w:after="0"/>
              <w:rPr>
                <w:sz w:val="20"/>
                <w:szCs w:val="20"/>
                <w:color w:val="auto"/>
              </w:rPr>
            </w:pP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47"/>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Hedge funds</w:t>
            </w:r>
          </w:p>
        </w:tc>
        <w:tc>
          <w:tcPr>
            <w:tcW w:w="6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8"/>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contracts</w:t>
            </w:r>
          </w:p>
        </w:tc>
        <w:tc>
          <w:tcPr>
            <w:tcW w:w="640" w:type="dxa"/>
            <w:vAlign w:val="bottom"/>
          </w:tcPr>
          <w:p>
            <w:pPr>
              <w:spacing w:after="0"/>
              <w:rPr>
                <w:sz w:val="20"/>
                <w:szCs w:val="20"/>
                <w:color w:val="auto"/>
              </w:rPr>
            </w:pP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5"/>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in multiple-</w:t>
            </w:r>
          </w:p>
        </w:tc>
        <w:tc>
          <w:tcPr>
            <w:tcW w:w="640" w:type="dxa"/>
            <w:vAlign w:val="bottom"/>
            <w:shd w:val="clear" w:color="auto" w:fill="CFF0FC"/>
          </w:tcPr>
          <w:p>
            <w:pPr>
              <w:spacing w:after="0"/>
              <w:rPr>
                <w:sz w:val="18"/>
                <w:szCs w:val="18"/>
                <w:color w:val="auto"/>
              </w:rPr>
            </w:pPr>
          </w:p>
        </w:tc>
        <w:tc>
          <w:tcPr>
            <w:tcW w:w="32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vMerge w:val="restart"/>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vMerge w:val="restart"/>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vMerge w:val="restart"/>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4"/>
        </w:trPr>
        <w:tc>
          <w:tcPr>
            <w:tcW w:w="28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employer pension plan</w:t>
            </w:r>
          </w:p>
        </w:tc>
        <w:tc>
          <w:tcPr>
            <w:tcW w:w="640" w:type="dxa"/>
            <w:vAlign w:val="bottom"/>
            <w:tcBorders>
              <w:bottom w:val="single" w:sz="8" w:color="auto"/>
            </w:tcBorders>
            <w:shd w:val="clear" w:color="auto" w:fill="CFF0FC"/>
          </w:tcPr>
          <w:p>
            <w:pPr>
              <w:spacing w:after="0"/>
              <w:rPr>
                <w:sz w:val="20"/>
                <w:szCs w:val="20"/>
                <w:color w:val="auto"/>
              </w:rPr>
            </w:pPr>
          </w:p>
        </w:tc>
        <w:tc>
          <w:tcPr>
            <w:tcW w:w="32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40" w:type="dxa"/>
            <w:vAlign w:val="bottom"/>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580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2436495</wp:posOffset>
            </wp:positionH>
            <wp:positionV relativeFrom="paragraph">
              <wp:posOffset>-187960</wp:posOffset>
            </wp:positionV>
            <wp:extent cx="76835" cy="18859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3121660</wp:posOffset>
            </wp:positionH>
            <wp:positionV relativeFrom="paragraph">
              <wp:posOffset>-187960</wp:posOffset>
            </wp:positionV>
            <wp:extent cx="76835" cy="18859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-187960</wp:posOffset>
            </wp:positionV>
            <wp:extent cx="76835" cy="18859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-187960</wp:posOffset>
            </wp:positionV>
            <wp:extent cx="68580" cy="18859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-187960</wp:posOffset>
            </wp:positionV>
            <wp:extent cx="68580" cy="18859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-187960</wp:posOffset>
            </wp:positionV>
            <wp:extent cx="68580" cy="18859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6461125</wp:posOffset>
            </wp:positionH>
            <wp:positionV relativeFrom="paragraph">
              <wp:posOffset>-187960</wp:posOffset>
            </wp:positionV>
            <wp:extent cx="68580" cy="18859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23"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We evaluate the need to transfer between levels based upon the nature of the financial instrument and size of the transfer relative to the total net assets of the plans. There were no significant transfers between Levels 1, 2 or 3 in the fiscal years ended December 31, 2022 and 2021.</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13" w:name="page114"/>
    <w:bookmarkEnd w:id="113"/>
    <w:p>
      <w:pPr>
        <w:ind w:right="60"/>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Subtopic 820-10, </w:t>
      </w:r>
      <w:r>
        <w:rPr>
          <w:rFonts w:ascii="Times New Roman" w:cs="Times New Roman" w:eastAsia="Times New Roman" w:hAnsi="Times New Roman"/>
          <w:sz w:val="18"/>
          <w:szCs w:val="18"/>
          <w:i w:val="1"/>
          <w:iCs w:val="1"/>
          <w:color w:val="auto"/>
        </w:rPr>
        <w:t>Fair Value Measurement and Disclosures</w:t>
      </w:r>
      <w:r>
        <w:rPr>
          <w:rFonts w:ascii="Times New Roman" w:cs="Times New Roman" w:eastAsia="Times New Roman" w:hAnsi="Times New Roman"/>
          <w:sz w:val="18"/>
          <w:szCs w:val="18"/>
          <w:color w:val="auto"/>
        </w:rPr>
        <w:t>, certain investments that are measured at fair value using the net asset value per share practical expedient have not been classified in the fair value hierarchy. The fair value amounts presented in these tables are intended to permit reconciliation of the fair value hierarchy to the amounts presented in the statements of net assets.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description of the valuation methodologies used for investments at fair value: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securities</w:t>
      </w:r>
      <w:r>
        <w:rPr>
          <w:rFonts w:ascii="Times New Roman" w:cs="Times New Roman" w:eastAsia="Times New Roman" w:hAnsi="Times New Roman"/>
          <w:sz w:val="18"/>
          <w:szCs w:val="18"/>
          <w:color w:val="auto"/>
        </w:rPr>
        <w:t>: Valued at the net value of shares held by the Company at year end as reported by the sponsor of the funds.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 bonds</w:t>
      </w:r>
      <w:r>
        <w:rPr>
          <w:rFonts w:ascii="Times New Roman" w:cs="Times New Roman" w:eastAsia="Times New Roman" w:hAnsi="Times New Roman"/>
          <w:sz w:val="18"/>
          <w:szCs w:val="18"/>
          <w:color w:val="auto"/>
        </w:rPr>
        <w:t>: Valued at the closing price reported in the active market in which the bond is traded.</w:t>
      </w:r>
    </w:p>
    <w:p>
      <w:pPr>
        <w:spacing w:after="0" w:line="171" w:lineRule="exact"/>
        <w:rPr>
          <w:sz w:val="20"/>
          <w:szCs w:val="20"/>
          <w:color w:val="auto"/>
        </w:rPr>
      </w:pPr>
    </w:p>
    <w:p>
      <w:pPr>
        <w:ind w:right="60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Corporate bonds: </w:t>
      </w:r>
      <w:r>
        <w:rPr>
          <w:rFonts w:ascii="Times New Roman" w:cs="Times New Roman" w:eastAsia="Times New Roman" w:hAnsi="Times New Roman"/>
          <w:sz w:val="18"/>
          <w:szCs w:val="18"/>
          <w:color w:val="auto"/>
        </w:rPr>
        <w:t>Valued using pricing models maximizing the use of observable inputs for similar securities. This includes basing values on yields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currently available on comparable securities of issuers with similar credit ratings.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fixed income</w:t>
      </w:r>
      <w:r>
        <w:rPr>
          <w:rFonts w:ascii="Times New Roman" w:cs="Times New Roman" w:eastAsia="Times New Roman" w:hAnsi="Times New Roman"/>
          <w:sz w:val="18"/>
          <w:szCs w:val="18"/>
          <w:color w:val="auto"/>
        </w:rPr>
        <w:t>: Foreign and municipal bonds are valued using pricing models maximizing the use of observable inputs for similar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Pooled / commingled funds and mutual funds</w:t>
      </w:r>
      <w:r>
        <w:rPr>
          <w:rFonts w:ascii="Times New Roman" w:cs="Times New Roman" w:eastAsia="Times New Roman" w:hAnsi="Times New Roman"/>
          <w:sz w:val="18"/>
          <w:szCs w:val="18"/>
          <w:color w:val="auto"/>
        </w:rPr>
        <w:t>: Valued at the net value of shares held by the Company at year end as reported by the manager of the funds.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funds are not exchange-traded and are not reported by level in the tables above.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investments</w:t>
      </w:r>
      <w:r>
        <w:rPr>
          <w:rFonts w:ascii="Times New Roman" w:cs="Times New Roman" w:eastAsia="Times New Roman" w:hAnsi="Times New Roman"/>
          <w:sz w:val="18"/>
          <w:szCs w:val="18"/>
          <w:color w:val="auto"/>
        </w:rPr>
        <w:t>: Valued at the closing level of the relevant index or security and interest accrual through the valuation date.</w:t>
      </w:r>
    </w:p>
    <w:p>
      <w:pPr>
        <w:spacing w:after="0" w:line="171"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Private equity funds, real estate funds, hedge funds: </w:t>
      </w:r>
      <w:r>
        <w:rPr>
          <w:rFonts w:ascii="Times New Roman" w:cs="Times New Roman" w:eastAsia="Times New Roman" w:hAnsi="Times New Roman"/>
          <w:sz w:val="18"/>
          <w:szCs w:val="18"/>
          <w:color w:val="auto"/>
        </w:rPr>
        <w:t>The fair values for these investments are estimated based on the net asset values derived from the latest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audited financial statements or most recent capital account statements provided by the private equity fund’s investment manager or third-party administrator.</w:t>
      </w:r>
    </w:p>
    <w:p>
      <w:pPr>
        <w:spacing w:after="0" w:line="118" w:lineRule="exact"/>
        <w:rPr>
          <w:sz w:val="20"/>
          <w:szCs w:val="20"/>
          <w:color w:val="auto"/>
        </w:rPr>
      </w:pPr>
    </w:p>
    <w:p>
      <w:pPr>
        <w:ind w:right="28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Insurance contracts: </w:t>
      </w:r>
      <w:r>
        <w:rPr>
          <w:rFonts w:ascii="Times New Roman" w:cs="Times New Roman" w:eastAsia="Times New Roman" w:hAnsi="Times New Roman"/>
          <w:sz w:val="18"/>
          <w:szCs w:val="18"/>
          <w:color w:val="auto"/>
        </w:rPr>
        <w:t>The fair values are determined using model-based techniques that include option-pricing models, discounted cash flow models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similar techniques.</w:t>
      </w:r>
    </w:p>
    <w:p>
      <w:pPr>
        <w:spacing w:after="0" w:line="105"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Investment in multiple-employer pension plan: </w:t>
      </w:r>
      <w:r>
        <w:rPr>
          <w:rFonts w:ascii="Times New Roman" w:cs="Times New Roman" w:eastAsia="Times New Roman" w:hAnsi="Times New Roman"/>
          <w:sz w:val="18"/>
          <w:szCs w:val="18"/>
          <w:color w:val="auto"/>
        </w:rPr>
        <w:t>The Company sponsors a pension plan for its Swiss employees in which assets of the plan are invested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collective fund with multiple employers through a Swiss insurance company. WTW does not have rights to, nor does it have investment authority over, the individual assets of the plan. The fair value of the plan assets is estimated based on information provided by the collective fund.</w:t>
      </w:r>
    </w:p>
    <w:p>
      <w:pPr>
        <w:spacing w:after="0" w:line="118" w:lineRule="exact"/>
        <w:rPr>
          <w:sz w:val="20"/>
          <w:szCs w:val="20"/>
          <w:color w:val="auto"/>
        </w:rPr>
      </w:pPr>
    </w:p>
    <w:p>
      <w:pPr>
        <w:jc w:val="both"/>
        <w:ind w:right="100"/>
        <w:spacing w:after="0" w:line="314" w:lineRule="auto"/>
        <w:rPr>
          <w:sz w:val="20"/>
          <w:szCs w:val="20"/>
          <w:color w:val="auto"/>
        </w:rPr>
      </w:pPr>
      <w:r>
        <w:rPr>
          <w:rFonts w:ascii="Times New Roman" w:cs="Times New Roman" w:eastAsia="Times New Roman" w:hAnsi="Times New Roman"/>
          <w:sz w:val="17"/>
          <w:szCs w:val="17"/>
          <w:i w:val="1"/>
          <w:iCs w:val="1"/>
          <w:color w:val="auto"/>
        </w:rPr>
        <w:t xml:space="preserve">Repurchase agreements: </w:t>
      </w:r>
      <w:r>
        <w:rPr>
          <w:rFonts w:ascii="Times New Roman" w:cs="Times New Roman" w:eastAsia="Times New Roman" w:hAnsi="Times New Roman"/>
          <w:sz w:val="17"/>
          <w:szCs w:val="17"/>
          <w:color w:val="auto"/>
        </w:rPr>
        <w:t>Valued as the repurchase obligation which includes an interest rate linked to the underlying fixed interest government bond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portfolio. These agreements are short-term in nature (less than one year) and were entered into for the purpose of purchasing additional government bonds.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net plan investments to the total fair value of the plan assets: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Borders>
              <w:bottom w:val="single" w:sz="8" w:color="auto"/>
            </w:tcBorders>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10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assets held in investments</w:t>
            </w:r>
          </w:p>
        </w:tc>
        <w:tc>
          <w:tcPr>
            <w:tcW w:w="102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7,400</w:t>
            </w:r>
          </w:p>
        </w:tc>
        <w:tc>
          <w:tcPr>
            <w:tcW w:w="18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10,715</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receivable for investments purchased</w:t>
            </w:r>
          </w:p>
        </w:tc>
        <w:tc>
          <w:tcPr>
            <w:tcW w:w="10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1020" w:type="dxa"/>
            <w:vAlign w:val="bottom"/>
            <w:tcBorders>
              <w:bottom w:val="single" w:sz="8" w:color="auto"/>
            </w:tcBorders>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7,402</w:t>
            </w:r>
          </w:p>
        </w:tc>
        <w:tc>
          <w:tcPr>
            <w:tcW w:w="1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10,715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5955665</wp:posOffset>
            </wp:positionH>
            <wp:positionV relativeFrom="paragraph">
              <wp:posOffset>-24765</wp:posOffset>
            </wp:positionV>
            <wp:extent cx="12001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-7620</wp:posOffset>
            </wp:positionV>
            <wp:extent cx="12001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 investments</w:t>
      </w:r>
    </w:p>
    <w:p>
      <w:pPr>
        <w:spacing w:after="0" w:line="173"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8"/>
          <w:szCs w:val="18"/>
          <w:color w:val="auto"/>
        </w:rPr>
        <w:t>As a result of the inherent limitations related to the valuations of the Level 3 investments, due to the unobservable inputs of the underlying funds, the estimated fair values may differ significantly from the values that would have been used had a market for those investments existed.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changes in the fair value of the plans’ Level 3 assets for the fiscal year ended December 31,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87"/>
        </w:trPr>
        <w:tc>
          <w:tcPr>
            <w:tcW w:w="424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Roll Forward</w:t>
            </w:r>
          </w:p>
        </w:tc>
      </w:tr>
      <w:tr>
        <w:trPr>
          <w:trHeight w:val="236"/>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 at December 31, 2021</w:t>
            </w:r>
          </w:p>
        </w:tc>
        <w:tc>
          <w:tcPr>
            <w:tcW w:w="50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113</w:t>
            </w:r>
          </w:p>
        </w:tc>
      </w:tr>
      <w:tr>
        <w:trPr>
          <w:trHeight w:val="238"/>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5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w:t>
            </w:r>
          </w:p>
        </w:tc>
      </w:tr>
      <w:tr>
        <w:trPr>
          <w:trHeight w:val="247"/>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loss</w:t>
            </w:r>
          </w:p>
        </w:tc>
        <w:tc>
          <w:tcPr>
            <w:tcW w:w="50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38"/>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5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76"/>
        </w:trPr>
        <w:tc>
          <w:tcPr>
            <w:tcW w:w="4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 at December 31, 2022</w:t>
            </w:r>
          </w:p>
        </w:tc>
        <w:tc>
          <w:tcPr>
            <w:tcW w:w="50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84</w:t>
            </w:r>
          </w:p>
        </w:tc>
      </w:tr>
      <w:tr>
        <w:trPr>
          <w:trHeight w:val="632"/>
        </w:trPr>
        <w:tc>
          <w:tcPr>
            <w:tcW w:w="4240" w:type="dxa"/>
            <w:vAlign w:val="bottom"/>
          </w:tcPr>
          <w:p>
            <w:pPr>
              <w:spacing w:after="0"/>
              <w:rPr>
                <w:sz w:val="24"/>
                <w:szCs w:val="24"/>
                <w:color w:val="auto"/>
              </w:rPr>
            </w:pPr>
          </w:p>
        </w:tc>
        <w:tc>
          <w:tcPr>
            <w:tcW w:w="5000" w:type="dxa"/>
            <w:vAlign w:val="bottom"/>
          </w:tcPr>
          <w:p>
            <w:pPr>
              <w:jc w:val="right"/>
              <w:ind w:right="3390"/>
              <w:spacing w:after="0"/>
              <w:rPr>
                <w:sz w:val="20"/>
                <w:szCs w:val="20"/>
                <w:color w:val="auto"/>
              </w:rPr>
            </w:pPr>
            <w:r>
              <w:rPr>
                <w:rFonts w:ascii="Times New Roman" w:cs="Times New Roman" w:eastAsia="Times New Roman" w:hAnsi="Times New Roman"/>
                <w:sz w:val="18"/>
                <w:szCs w:val="18"/>
                <w:color w:val="auto"/>
              </w:rPr>
              <w:t>112</w:t>
            </w: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01"/>
        </w:trPr>
        <w:tc>
          <w:tcPr>
            <w:tcW w:w="4240" w:type="dxa"/>
            <w:vAlign w:val="bottom"/>
            <w:tcBorders>
              <w:bottom w:val="single" w:sz="8" w:color="9A9A9A"/>
            </w:tcBorders>
          </w:tcPr>
          <w:p>
            <w:pPr>
              <w:spacing w:after="0"/>
              <w:rPr>
                <w:sz w:val="8"/>
                <w:szCs w:val="8"/>
                <w:color w:val="auto"/>
              </w:rPr>
            </w:pPr>
          </w:p>
        </w:tc>
        <w:tc>
          <w:tcPr>
            <w:tcW w:w="50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i w:val="1"/>
          <w:iCs w:val="1"/>
          <w:color w:val="auto"/>
        </w:rPr>
        <w:t>Contributions and Benefit Payments</w:t>
      </w:r>
    </w:p>
    <w:p>
      <w:pPr>
        <w:spacing w:after="0" w:line="173"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Funding is based on actuarially-determined contributions and is limited to amounts that are currently deductible for tax purposes. Since funding calculations are based on different measurements than those used for accounting purposes, pension contributions are not equal to net periodic pension costs.</w:t>
      </w:r>
    </w:p>
    <w:p>
      <w:pPr>
        <w:spacing w:after="0" w:line="85"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The following table sets forth our projected pension contributions to our qualified plans for fiscal year 2023, as well as the pension contributions to our qualified plans in fiscal years 2022 and 2021:</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11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3"/>
                <w:szCs w:val="13"/>
                <w:color w:val="auto"/>
              </w:rPr>
            </w:pPr>
          </w:p>
        </w:tc>
        <w:tc>
          <w:tcPr>
            <w:tcW w:w="118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7"/>
        </w:trPr>
        <w:tc>
          <w:tcPr>
            <w:tcW w:w="656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3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4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(Actual)</w:t>
            </w:r>
          </w:p>
        </w:tc>
      </w:tr>
      <w:tr>
        <w:trPr>
          <w:trHeight w:val="23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100" w:type="dxa"/>
            <w:vAlign w:val="bottom"/>
            <w:shd w:val="clear" w:color="auto" w:fill="CFF0FC"/>
          </w:tcPr>
          <w:p>
            <w:pPr>
              <w:jc w:val="right"/>
              <w:ind w:right="917"/>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60</w:t>
            </w:r>
          </w:p>
        </w:tc>
      </w:tr>
      <w:tr>
        <w:trPr>
          <w:trHeight w:val="238"/>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U.K.</w:t>
            </w:r>
          </w:p>
        </w:tc>
        <w:tc>
          <w:tcPr>
            <w:tcW w:w="1100" w:type="dxa"/>
            <w:vAlign w:val="bottom"/>
          </w:tcPr>
          <w:p>
            <w:pPr>
              <w:jc w:val="right"/>
              <w:ind w:right="917"/>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31</w:t>
            </w:r>
          </w:p>
        </w:tc>
        <w:tc>
          <w:tcPr>
            <w:tcW w:w="1180" w:type="dxa"/>
            <w:vAlign w:val="bottom"/>
            <w:gridSpan w:val="2"/>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41</w:t>
            </w:r>
          </w:p>
        </w:tc>
      </w:tr>
      <w:tr>
        <w:trPr>
          <w:trHeight w:val="247"/>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shd w:val="clear" w:color="auto" w:fill="CFF0FC"/>
          </w:tcPr>
          <w:p>
            <w:pPr>
              <w:jc w:val="right"/>
              <w:ind w:right="917"/>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23</w:t>
            </w:r>
          </w:p>
        </w:tc>
        <w:tc>
          <w:tcPr>
            <w:tcW w:w="1180" w:type="dxa"/>
            <w:vAlign w:val="bottom"/>
            <w:gridSpan w:val="2"/>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25</w:t>
            </w:r>
          </w:p>
        </w:tc>
      </w:tr>
    </w:tbl>
    <w:p>
      <w:pPr>
        <w:spacing w:after="0" w:line="143"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8"/>
          <w:szCs w:val="18"/>
          <w:color w:val="auto"/>
        </w:rPr>
        <w:t>Expected benefit payments from our defined benefit pension plans to current plan participants, including the effects of their expected future service, as appropriate,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Benefit Payments</w:t>
            </w:r>
          </w:p>
        </w:tc>
        <w:tc>
          <w:tcPr>
            <w:tcW w:w="4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69"/>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U.K.</w:t>
            </w:r>
          </w:p>
        </w:tc>
        <w:tc>
          <w:tcPr>
            <w:tcW w:w="14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270</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429</w:t>
            </w: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279</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424</w:t>
            </w: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433</w:t>
            </w: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293</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128</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452</w:t>
            </w: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297</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463</w:t>
            </w: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Years 2028 – 2032</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1,497</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710</w:t>
            </w:r>
          </w:p>
        </w:tc>
        <w:tc>
          <w:tcPr>
            <w:tcW w:w="1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2,397</w:t>
            </w:r>
          </w:p>
        </w:tc>
      </w:tr>
      <w:tr>
        <w:trPr>
          <w:trHeight w:val="276"/>
        </w:trPr>
        <w:tc>
          <w:tcPr>
            <w:tcW w:w="58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2,921</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1,333</w:t>
            </w:r>
          </w:p>
        </w:tc>
        <w:tc>
          <w:tcPr>
            <w:tcW w:w="14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344</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4,598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4491990</wp:posOffset>
            </wp:positionH>
            <wp:positionV relativeFrom="paragraph">
              <wp:posOffset>-24765</wp:posOffset>
            </wp:positionV>
            <wp:extent cx="9398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-7620</wp:posOffset>
            </wp:positionV>
            <wp:extent cx="9398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-24765</wp:posOffset>
            </wp:positionV>
            <wp:extent cx="9398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-7620</wp:posOffset>
            </wp:positionV>
            <wp:extent cx="9398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-24765</wp:posOffset>
            </wp:positionV>
            <wp:extent cx="8572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-7620</wp:posOffset>
            </wp:positionV>
            <wp:extent cx="8572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175"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We have defined contribution plans covering eligible employees in many countries. The most significant plans are in the U.S. and U.K. and are described here.</w:t>
      </w:r>
    </w:p>
    <w:p>
      <w:pPr>
        <w:spacing w:after="0" w:line="109"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We have a U.S. defined contribution plan covering all eligible employees of WTW. The plan allows participants to make pre-tax and Roth after-tax contributions, and the Company provides a 100% match on the first 1% of employee contributions and a 50% match on the next 5% of employee contributions. Employees vest in the Company match upon two years of service. All investment assets of the plan are held in a trust account administered by independent trustees.</w:t>
      </w:r>
    </w:p>
    <w:p>
      <w:pPr>
        <w:spacing w:after="0" w:line="128"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8"/>
          <w:szCs w:val="18"/>
          <w:color w:val="auto"/>
        </w:rPr>
        <w:t>Our U.K. pension plans provide for a defined contribution component as part of a master trust. We make contributions to the plan, a portion of which represents matching contributions made by the participants up to a maximum rate.</w:t>
      </w:r>
    </w:p>
    <w:p>
      <w:pPr>
        <w:spacing w:after="0" w:line="109"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8"/>
          <w:szCs w:val="18"/>
          <w:color w:val="auto"/>
        </w:rPr>
        <w:t>We had defined contribution plan expense for the years ended December 31, 2022, 2021 and 2020 amounting to $148 million, $155 million and $160 million,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Leases</w:t>
      </w:r>
    </w:p>
    <w:p>
      <w:pPr>
        <w:spacing w:after="0" w:line="175"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The following tables present amounts recorded on our consolidated balance sheets at December 31, 2022 and 2021, classified as either operating or finance leases. Operating leases are presented separately on our consolidated balance sheets. For the finance leases, the ROU assets are included in fixed assets, net, and the liabilities are classified within Other current liabilities and Other non-current liabilities.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ind w:right="257"/>
              <w:spacing w:after="0" w:line="131"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60" w:type="dxa"/>
            <w:vAlign w:val="bottom"/>
          </w:tcPr>
          <w:p>
            <w:pPr>
              <w:spacing w:after="0"/>
              <w:rPr>
                <w:sz w:val="11"/>
                <w:szCs w:val="11"/>
                <w:color w:val="auto"/>
              </w:rPr>
            </w:pPr>
          </w:p>
        </w:tc>
        <w:tc>
          <w:tcPr>
            <w:tcW w:w="114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right"/>
              <w:ind w:right="397"/>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ind w:right="217"/>
              <w:spacing w:after="0" w:line="131"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60" w:type="dxa"/>
            <w:vAlign w:val="bottom"/>
          </w:tcPr>
          <w:p>
            <w:pPr>
              <w:spacing w:after="0"/>
              <w:rPr>
                <w:sz w:val="11"/>
                <w:szCs w:val="11"/>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ind w:right="397"/>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3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6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60" w:type="dxa"/>
            <w:vAlign w:val="bottom"/>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36"/>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586</w:t>
            </w: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590</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720</w:t>
            </w: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3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140" w:type="dxa"/>
            <w:vAlign w:val="bottom"/>
          </w:tcPr>
          <w:p>
            <w:pPr>
              <w:spacing w:after="0"/>
              <w:rPr>
                <w:sz w:val="20"/>
                <w:szCs w:val="20"/>
                <w:color w:val="auto"/>
              </w:rPr>
            </w:pPr>
          </w:p>
        </w:tc>
        <w:tc>
          <w:tcPr>
            <w:tcW w:w="100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47"/>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620</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632</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734</w:t>
            </w: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647"/>
        </w:trPr>
        <w:tc>
          <w:tcPr>
            <w:tcW w:w="3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7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15" w:name="page116"/>
    <w:bookmarkEnd w:id="115"/>
    <w:p>
      <w:pPr>
        <w:ind w:right="120"/>
        <w:spacing w:after="0" w:line="281" w:lineRule="auto"/>
        <w:rPr>
          <w:sz w:val="20"/>
          <w:szCs w:val="20"/>
          <w:color w:val="auto"/>
        </w:rPr>
      </w:pPr>
      <w:r>
        <w:rPr>
          <w:rFonts w:ascii="Times New Roman" w:cs="Times New Roman" w:eastAsia="Times New Roman" w:hAnsi="Times New Roman"/>
          <w:sz w:val="18"/>
          <w:szCs w:val="18"/>
          <w:color w:val="auto"/>
        </w:rPr>
        <w:t>The following tables present amounts recorded on our consolidated statements of comprehensive income for the years ended December 31, 2022, 2021 and 2020:</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23"/>
        </w:trPr>
        <w:tc>
          <w:tcPr>
            <w:tcW w:w="70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6"/>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8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r>
      <w:tr>
        <w:trPr>
          <w:trHeight w:val="238"/>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r>
      <w:tr>
        <w:trPr>
          <w:trHeight w:val="247"/>
        </w:trPr>
        <w:tc>
          <w:tcPr>
            <w:tcW w:w="7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84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r>
      <w:tr>
        <w:trPr>
          <w:trHeight w:val="238"/>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8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192</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181</w:t>
            </w:r>
          </w:p>
        </w:tc>
      </w:tr>
      <w:tr>
        <w:trPr>
          <w:trHeight w:val="247"/>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84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r>
      <w:tr>
        <w:trPr>
          <w:trHeight w:val="238"/>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8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w:t>
            </w:r>
          </w:p>
        </w:tc>
      </w:tr>
      <w:tr>
        <w:trPr>
          <w:trHeight w:val="243"/>
        </w:trPr>
        <w:tc>
          <w:tcPr>
            <w:tcW w:w="7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84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36"/>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lease cost, net</w:t>
            </w: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5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229</w:t>
            </w:r>
          </w:p>
        </w:tc>
        <w:tc>
          <w:tcPr>
            <w:tcW w:w="1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219</w:t>
            </w:r>
          </w:p>
        </w:tc>
      </w:tr>
      <w:tr>
        <w:trPr>
          <w:trHeight w:val="20"/>
        </w:trPr>
        <w:tc>
          <w:tcPr>
            <w:tcW w:w="70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-187960</wp:posOffset>
            </wp:positionV>
            <wp:extent cx="93980" cy="18859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-187960</wp:posOffset>
            </wp:positionV>
            <wp:extent cx="93980" cy="18859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93980" cy="188595"/>
                    </a:xfrm>
                    <a:prstGeom prst="rect">
                      <a:avLst/>
                    </a:prstGeom>
                    <a:noFill/>
                  </pic:spPr>
                </pic:pic>
              </a:graphicData>
            </a:graphic>
          </wp:anchor>
        </w:drawing>
      </w:r>
    </w:p>
    <w:p>
      <w:pPr>
        <w:spacing w:after="0" w:line="123"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 xml:space="preserve">The total lease cost is recognized in different locations in our consolidated statements of comprehensive income. Amortization of the finance lease ROU assets is included in depreciation, while the interest cost component of these finance leases is included in interest expense. All other costs are included in other operating expenses, with the exception of $57 million and $19 million incurred during the years ended December 31, 2022 and 2021, respectively, that were included in restructuring costs (see Note 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Restructuring Costs) that primarily related to the acceleration of amortization or impairment of certain abandoned ROU assets and the payment of early termination fees. There are no significant lease costs that have been included as discontinued operations in the consolidated statements of comprehensive income during the years ended December 31, 2022, 2021 and 2020.</w:t>
      </w:r>
    </w:p>
    <w:p>
      <w:pPr>
        <w:spacing w:after="0" w:line="132"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Cash paid for amounts included in the measurement of lease liabilities for the years ended December 31, 2022, 2021 and 2020, as well as its location in the consolidated statements of cash flows, is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23"/>
        </w:trPr>
        <w:tc>
          <w:tcPr>
            <w:tcW w:w="70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6"/>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8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r>
      <w:tr>
        <w:trPr>
          <w:trHeight w:val="238"/>
        </w:trPr>
        <w:tc>
          <w:tcPr>
            <w:tcW w:w="7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82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5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190</w:t>
            </w:r>
          </w:p>
        </w:tc>
      </w:tr>
      <w:tr>
        <w:trPr>
          <w:trHeight w:val="247"/>
        </w:trPr>
        <w:tc>
          <w:tcPr>
            <w:tcW w:w="7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82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w:t>
            </w:r>
          </w:p>
        </w:tc>
      </w:tr>
      <w:tr>
        <w:trPr>
          <w:trHeight w:val="23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3"/>
        </w:trPr>
        <w:tc>
          <w:tcPr>
            <w:tcW w:w="70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82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w:t>
            </w:r>
          </w:p>
        </w:tc>
      </w:tr>
      <w:tr>
        <w:trPr>
          <w:trHeight w:val="236"/>
        </w:trPr>
        <w:tc>
          <w:tcPr>
            <w:tcW w:w="7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82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5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196</w:t>
            </w:r>
          </w:p>
        </w:tc>
      </w:tr>
      <w:tr>
        <w:trPr>
          <w:trHeight w:val="20"/>
        </w:trPr>
        <w:tc>
          <w:tcPr>
            <w:tcW w:w="70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5305425</wp:posOffset>
            </wp:positionH>
            <wp:positionV relativeFrom="paragraph">
              <wp:posOffset>-187960</wp:posOffset>
            </wp:positionV>
            <wp:extent cx="93980" cy="18859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-187960</wp:posOffset>
            </wp:positionV>
            <wp:extent cx="93980" cy="18859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93980" cy="188595"/>
                    </a:xfrm>
                    <a:prstGeom prst="rect">
                      <a:avLst/>
                    </a:prstGeom>
                    <a:noFill/>
                  </pic:spPr>
                </pic:pic>
              </a:graphicData>
            </a:graphic>
          </wp:anchor>
        </w:drawing>
      </w:r>
    </w:p>
    <w:p>
      <w:pPr>
        <w:spacing w:after="0" w:line="123" w:lineRule="exact"/>
        <w:rPr>
          <w:sz w:val="20"/>
          <w:szCs w:val="20"/>
          <w:color w:val="auto"/>
        </w:rPr>
      </w:pPr>
    </w:p>
    <w:p>
      <w:pPr>
        <w:ind w:right="780"/>
        <w:spacing w:after="0" w:line="281" w:lineRule="auto"/>
        <w:rPr>
          <w:sz w:val="20"/>
          <w:szCs w:val="20"/>
          <w:color w:val="auto"/>
        </w:rPr>
      </w:pPr>
      <w:r>
        <w:rPr>
          <w:rFonts w:ascii="Times New Roman" w:cs="Times New Roman" w:eastAsia="Times New Roman" w:hAnsi="Times New Roman"/>
          <w:sz w:val="18"/>
          <w:szCs w:val="18"/>
          <w:color w:val="auto"/>
        </w:rPr>
        <w:t>Non-cash additions to our operating lease ROU assets, net of modifications, were $65 million, $37 million and $70 million during the years ended December 31, 2022, 2021 and 2020, respectively.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and finance leases have the following weighted-average terms and discount rates as of December 31, 2022 and 2021:</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00" w:type="dxa"/>
            <w:vAlign w:val="bottom"/>
          </w:tcPr>
          <w:p>
            <w:pPr>
              <w:spacing w:after="0"/>
              <w:rPr>
                <w:sz w:val="16"/>
                <w:szCs w:val="16"/>
                <w:color w:val="auto"/>
              </w:rPr>
            </w:pPr>
          </w:p>
        </w:tc>
        <w:tc>
          <w:tcPr>
            <w:tcW w:w="2520" w:type="dxa"/>
            <w:vAlign w:val="bottom"/>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gridSpan w:val="4"/>
          </w:tcPr>
          <w:p>
            <w:pPr>
              <w:ind w:left="84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31"/>
        </w:trPr>
        <w:tc>
          <w:tcPr>
            <w:tcW w:w="5200" w:type="dxa"/>
            <w:vAlign w:val="bottom"/>
          </w:tcPr>
          <w:p>
            <w:pPr>
              <w:spacing w:after="0"/>
              <w:rPr>
                <w:sz w:val="11"/>
                <w:szCs w:val="11"/>
                <w:color w:val="auto"/>
              </w:rPr>
            </w:pPr>
          </w:p>
        </w:tc>
        <w:tc>
          <w:tcPr>
            <w:tcW w:w="1060" w:type="dxa"/>
            <w:vAlign w:val="bottom"/>
            <w:tcBorders>
              <w:top w:val="single" w:sz="8" w:color="auto"/>
            </w:tcBorders>
          </w:tcPr>
          <w:p>
            <w:pPr>
              <w:jc w:val="center"/>
              <w:ind w:left="228"/>
              <w:spacing w:after="0" w:line="131"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4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left="288"/>
              <w:spacing w:after="0" w:line="131" w:lineRule="exact"/>
              <w:rPr>
                <w:sz w:val="20"/>
                <w:szCs w:val="20"/>
                <w:color w:val="auto"/>
              </w:rPr>
            </w:pPr>
            <w:r>
              <w:rPr>
                <w:rFonts w:ascii="Times New Roman" w:cs="Times New Roman" w:eastAsia="Times New Roman" w:hAnsi="Times New Roman"/>
                <w:sz w:val="14"/>
                <w:szCs w:val="14"/>
                <w:b w:val="1"/>
                <w:bCs w:val="1"/>
                <w:color w:val="auto"/>
              </w:rPr>
              <w:t>Finance</w:t>
            </w: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Borders>
              <w:top w:val="single" w:sz="8" w:color="auto"/>
            </w:tcBorders>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380" w:type="dxa"/>
            <w:vAlign w:val="bottom"/>
            <w:tcBorders>
              <w:top w:val="single" w:sz="8" w:color="auto"/>
            </w:tcBorders>
          </w:tcPr>
          <w:p>
            <w:pPr>
              <w:jc w:val="right"/>
              <w:ind w:right="419"/>
              <w:spacing w:after="0" w:line="131" w:lineRule="exact"/>
              <w:rPr>
                <w:sz w:val="20"/>
                <w:szCs w:val="20"/>
                <w:color w:val="auto"/>
              </w:rPr>
            </w:pPr>
            <w:r>
              <w:rPr>
                <w:rFonts w:ascii="Times New Roman" w:cs="Times New Roman" w:eastAsia="Times New Roman" w:hAnsi="Times New Roman"/>
                <w:sz w:val="14"/>
                <w:szCs w:val="14"/>
                <w:b w:val="1"/>
                <w:bCs w:val="1"/>
                <w:color w:val="auto"/>
              </w:rPr>
              <w:t>Finance</w:t>
            </w:r>
          </w:p>
        </w:tc>
        <w:tc>
          <w:tcPr>
            <w:tcW w:w="60" w:type="dxa"/>
            <w:vAlign w:val="bottom"/>
          </w:tcPr>
          <w:p>
            <w:pPr>
              <w:spacing w:after="0"/>
              <w:rPr>
                <w:sz w:val="11"/>
                <w:szCs w:val="11"/>
                <w:color w:val="auto"/>
              </w:rPr>
            </w:pPr>
          </w:p>
        </w:tc>
      </w:tr>
      <w:tr>
        <w:trPr>
          <w:trHeight w:val="187"/>
        </w:trPr>
        <w:tc>
          <w:tcPr>
            <w:tcW w:w="5200" w:type="dxa"/>
            <w:vAlign w:val="bottom"/>
          </w:tcPr>
          <w:p>
            <w:pPr>
              <w:spacing w:after="0"/>
              <w:rPr>
                <w:sz w:val="16"/>
                <w:szCs w:val="16"/>
                <w:color w:val="auto"/>
              </w:rPr>
            </w:pPr>
          </w:p>
        </w:tc>
        <w:tc>
          <w:tcPr>
            <w:tcW w:w="106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36"/>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term (in years)</w:t>
            </w:r>
          </w:p>
        </w:tc>
        <w:tc>
          <w:tcPr>
            <w:tcW w:w="1060" w:type="dxa"/>
            <w:vAlign w:val="bottom"/>
            <w:tcBorders>
              <w:top w:val="single" w:sz="8" w:color="auto"/>
            </w:tcBorders>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20"/>
                <w:szCs w:val="20"/>
                <w:color w:val="auto"/>
              </w:rPr>
            </w:pPr>
          </w:p>
        </w:tc>
      </w:tr>
      <w:tr>
        <w:trPr>
          <w:trHeight w:val="234"/>
        </w:trPr>
        <w:tc>
          <w:tcPr>
            <w:tcW w:w="6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3.4 %</w:t>
            </w:r>
          </w:p>
        </w:tc>
        <w:tc>
          <w:tcPr>
            <w:tcW w:w="92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12.7 %</w:t>
            </w:r>
          </w:p>
        </w:tc>
        <w:tc>
          <w:tcPr>
            <w:tcW w:w="15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w w:val="99"/>
              </w:rPr>
              <w:t>3.3 %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12.7 %</w:t>
            </w:r>
          </w:p>
        </w:tc>
      </w:tr>
    </w:tbl>
    <w:p>
      <w:pPr>
        <w:spacing w:after="0" w:line="152"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The maturity of our lease liabilities on an undiscounted basis, including a reconciliation to the total lease liabilities reported on the consolidated balance sheet as of December 31, 2022, is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40" w:type="dxa"/>
            <w:vAlign w:val="bottom"/>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4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4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Total Leases</w:t>
            </w:r>
          </w:p>
        </w:tc>
      </w:tr>
      <w:tr>
        <w:trPr>
          <w:trHeight w:val="236"/>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560" w:type="dxa"/>
            <w:vAlign w:val="bottom"/>
            <w:shd w:val="clear" w:color="auto" w:fill="CFF0FC"/>
          </w:tcPr>
          <w:p>
            <w:pPr>
              <w:jc w:val="right"/>
              <w:ind w:right="137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148</w:t>
            </w:r>
          </w:p>
        </w:tc>
        <w:tc>
          <w:tcPr>
            <w:tcW w:w="280" w:type="dxa"/>
            <w:vAlign w:val="bottom"/>
            <w:shd w:val="clear" w:color="auto" w:fill="CFF0FC"/>
          </w:tcPr>
          <w:p>
            <w:pPr>
              <w:spacing w:after="0"/>
              <w:rPr>
                <w:sz w:val="20"/>
                <w:szCs w:val="20"/>
                <w:color w:val="auto"/>
              </w:rPr>
            </w:pPr>
          </w:p>
        </w:tc>
        <w:tc>
          <w:tcPr>
            <w:tcW w:w="1560" w:type="dxa"/>
            <w:vAlign w:val="bottom"/>
            <w:shd w:val="clear" w:color="auto" w:fill="CFF0FC"/>
          </w:tcPr>
          <w:p>
            <w:pPr>
              <w:jc w:val="right"/>
              <w:ind w:right="137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154</w:t>
            </w:r>
          </w:p>
        </w:tc>
      </w:tr>
      <w:tr>
        <w:trPr>
          <w:trHeight w:val="238"/>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560" w:type="dxa"/>
            <w:vAlign w:val="bottom"/>
          </w:tcPr>
          <w:p>
            <w:pPr>
              <w:spacing w:after="0"/>
              <w:rPr>
                <w:sz w:val="20"/>
                <w:szCs w:val="20"/>
                <w:color w:val="auto"/>
              </w:rPr>
            </w:pP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136</w:t>
            </w: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142</w:t>
            </w:r>
          </w:p>
        </w:tc>
      </w:tr>
      <w:tr>
        <w:trPr>
          <w:trHeight w:val="247"/>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56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123</w:t>
            </w:r>
          </w:p>
        </w:tc>
        <w:tc>
          <w:tcPr>
            <w:tcW w:w="28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129</w:t>
            </w:r>
          </w:p>
        </w:tc>
      </w:tr>
      <w:tr>
        <w:trPr>
          <w:trHeight w:val="238"/>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560" w:type="dxa"/>
            <w:vAlign w:val="bottom"/>
          </w:tcPr>
          <w:p>
            <w:pPr>
              <w:spacing w:after="0"/>
              <w:rPr>
                <w:sz w:val="20"/>
                <w:szCs w:val="20"/>
                <w:color w:val="auto"/>
              </w:rPr>
            </w:pP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103</w:t>
            </w: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104</w:t>
            </w:r>
          </w:p>
        </w:tc>
      </w:tr>
      <w:tr>
        <w:trPr>
          <w:trHeight w:val="247"/>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56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82</w:t>
            </w:r>
          </w:p>
        </w:tc>
        <w:tc>
          <w:tcPr>
            <w:tcW w:w="28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82</w:t>
            </w:r>
          </w:p>
        </w:tc>
      </w:tr>
      <w:tr>
        <w:trPr>
          <w:trHeight w:val="238"/>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5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249</w:t>
            </w:r>
          </w:p>
        </w:tc>
        <w:tc>
          <w:tcPr>
            <w:tcW w:w="28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249</w:t>
            </w:r>
          </w:p>
        </w:tc>
      </w:tr>
      <w:tr>
        <w:trPr>
          <w:trHeight w:val="240"/>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156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841</w:t>
            </w:r>
          </w:p>
        </w:tc>
        <w:tc>
          <w:tcPr>
            <w:tcW w:w="28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860</w:t>
            </w:r>
          </w:p>
        </w:tc>
      </w:tr>
      <w:tr>
        <w:trPr>
          <w:trHeight w:val="238"/>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15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28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76"/>
        </w:trPr>
        <w:tc>
          <w:tcPr>
            <w:tcW w:w="4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560" w:type="dxa"/>
            <w:vAlign w:val="bottom"/>
            <w:tcBorders>
              <w:bottom w:val="single" w:sz="8" w:color="auto"/>
            </w:tcBorders>
            <w:shd w:val="clear" w:color="auto" w:fill="CFF0FC"/>
          </w:tcPr>
          <w:p>
            <w:pPr>
              <w:jc w:val="right"/>
              <w:ind w:right="137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746</w:t>
            </w:r>
          </w:p>
        </w:tc>
        <w:tc>
          <w:tcPr>
            <w:tcW w:w="280" w:type="dxa"/>
            <w:vAlign w:val="bottom"/>
            <w:tcBorders>
              <w:bottom w:val="single" w:sz="8" w:color="CFF0FC"/>
            </w:tcBorders>
            <w:shd w:val="clear" w:color="auto" w:fill="CFF0FC"/>
          </w:tcPr>
          <w:p>
            <w:pPr>
              <w:spacing w:after="0"/>
              <w:rPr>
                <w:sz w:val="24"/>
                <w:szCs w:val="24"/>
                <w:color w:val="auto"/>
              </w:rPr>
            </w:pPr>
          </w:p>
        </w:tc>
        <w:tc>
          <w:tcPr>
            <w:tcW w:w="1560" w:type="dxa"/>
            <w:vAlign w:val="bottom"/>
            <w:tcBorders>
              <w:bottom w:val="single" w:sz="8" w:color="auto"/>
            </w:tcBorders>
            <w:shd w:val="clear" w:color="auto" w:fill="CFF0FC"/>
          </w:tcPr>
          <w:p>
            <w:pPr>
              <w:jc w:val="right"/>
              <w:ind w:right="137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762</w:t>
            </w:r>
          </w:p>
        </w:tc>
      </w:tr>
      <w:tr>
        <w:trPr>
          <w:trHeight w:val="632"/>
        </w:trPr>
        <w:tc>
          <w:tcPr>
            <w:tcW w:w="4640" w:type="dxa"/>
            <w:vAlign w:val="bottom"/>
          </w:tcPr>
          <w:p>
            <w:pPr>
              <w:spacing w:after="0"/>
              <w:rPr>
                <w:sz w:val="24"/>
                <w:szCs w:val="24"/>
                <w:color w:val="auto"/>
              </w:rPr>
            </w:pPr>
          </w:p>
        </w:tc>
        <w:tc>
          <w:tcPr>
            <w:tcW w:w="156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114</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464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4243705</wp:posOffset>
            </wp:positionH>
            <wp:positionV relativeFrom="paragraph">
              <wp:posOffset>-521970</wp:posOffset>
            </wp:positionV>
            <wp:extent cx="17145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4243705</wp:posOffset>
            </wp:positionH>
            <wp:positionV relativeFrom="paragraph">
              <wp:posOffset>-504825</wp:posOffset>
            </wp:positionV>
            <wp:extent cx="17145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-521970</wp:posOffset>
            </wp:positionV>
            <wp:extent cx="16256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-504825</wp:posOffset>
            </wp:positionV>
            <wp:extent cx="16256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526" w:right="27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Note 15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Guarantees issued by certain of WTW’s subsidiaries with respect to the senior notes and credit facilities are discussed in Note 11 — Debt.</w:t>
      </w:r>
    </w:p>
    <w:p>
      <w:pPr>
        <w:spacing w:after="0" w:line="17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Certain of WTW’s subsidiaries in the U.S. and the U.K. have given the landlords of some leased properties occupied by the Company guarantees with respect to the repayment of the lease obligations. The operating lease obligations subject to such guarantees amounted to $399 million and $498 million at December 31, 2022 and 2021, respectively. The finance lease obligations subject to such guarantees amounted to $3 million and $4 million at December 31, 2022 and 2021,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liabilities</w:t>
      </w:r>
    </w:p>
    <w:p>
      <w:pPr>
        <w:spacing w:after="0" w:line="175"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In addition to the contingent consideration that may be payable related to our acquisitions (see Note 12 — Fair Value Measurements), we have deferred consideration of $6 million at December 31, 2022, which is payable in 2023. The Company did not have any deferred consideration at December 31, 2021.</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contractual obligations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certain subsidiaries and associates, the Company has the right to purchase shares (a call option) from co-shareholders at various dates in the future. In addition, the co-shareholders of certain subsidiaries and associates have the right to sell their shares (a put option) to the Company at various dates in the future. Generally, the exercise prices of such put options and call options are formula-based (using revenue and earnings) and are designed to reflect fair value. Based on current projections of profitability and exchange rates, and assuming the put options are exercised, the potential amount payable from these put options is not expected to exceed $16 million.</w:t>
      </w:r>
    </w:p>
    <w:p>
      <w:pPr>
        <w:spacing w:after="0" w:line="128" w:lineRule="exact"/>
        <w:rPr>
          <w:sz w:val="20"/>
          <w:szCs w:val="20"/>
          <w:color w:val="auto"/>
        </w:rPr>
      </w:pPr>
    </w:p>
    <w:p>
      <w:pPr>
        <w:jc w:val="both"/>
        <w:ind w:right="180"/>
        <w:spacing w:after="0" w:line="265" w:lineRule="auto"/>
        <w:rPr>
          <w:sz w:val="20"/>
          <w:szCs w:val="20"/>
          <w:color w:val="auto"/>
        </w:rPr>
      </w:pPr>
      <w:r>
        <w:rPr>
          <w:rFonts w:ascii="Times New Roman" w:cs="Times New Roman" w:eastAsia="Times New Roman" w:hAnsi="Times New Roman"/>
          <w:sz w:val="18"/>
          <w:szCs w:val="18"/>
          <w:color w:val="auto"/>
        </w:rPr>
        <w:t>Additionally, the Company has capital commitments with Trident V Parallel Fund, LP, an investment fund managed by Stone Point Capital, and Dowling Capital Partners I, LP. At December 31, 2022, the Company is obligated to make capital contributions of approximately $2 million, collectively, to these funds.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WTW has various agreements which provide that it may be obligated to indemnify the other party to the agreement with respect to certain matters. Generally, these indemnification provisions are included in contracts arising in the normal course of business and in connection with the purchase and sale of certain businesses, including the disposal of Willis Re. It is not possible to predict the maximum potential amount of future payments that may become due under these indemnification agreements because of the conditional nature of the Company’s obligations and the unique facts of each particular agreement. However, we do not believe that any potential liability that may arise from such indemnity provisions is probable or material.</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8"/>
          <w:szCs w:val="18"/>
          <w:color w:val="auto"/>
        </w:rPr>
        <w:t>In the ordinary course of business, the Company is subject to various actual and potential claims, lawsuits and other proceedings. Some of the claims, lawsuits and other proceedings seek damages in amounts which could, if assessed, be significant. The Company also receives subpoenas in the ordinary course of business and, from time to time, receives requests for information in connection with governmental investigations.</w:t>
      </w:r>
    </w:p>
    <w:p>
      <w:pPr>
        <w:spacing w:after="0" w:line="12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Errors and omissions claims, lawsuits, and other proceedings arising in the ordinary course of business are covered in part by professional indemnity or other appropriate insurance. The terms of this insurance vary by policy year. Regarding self-insured risks, the Company has established provisions which are believed to be adequate in light of current information and legal advice, or, in certain cases, where a range of loss exists, the Company accrues the minimum amount in the range if no amount within the range is a better estimate than any other amount. The Company adjusts such provisions from time to time according to developments. See Note 16 — Supplementary Information for Certain Balance Sheet Accounts for the amounts accrued at December 31, 2022 and 2021 in the consolidated balance sheets.</w:t>
      </w:r>
    </w:p>
    <w:p>
      <w:pPr>
        <w:spacing w:after="0" w:line="13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the basis of current information, the Company does not expect that the actual claims, lawsuits and other proceedings to which it is subject, or potential claims, lawsuits, and other proceedings relating to matters of which it is aware, will ultimately have a material adverse effect on its financial condition, results of operations or liquidity. Nonetheless, given the large or indeterminate amounts sought in certain of these actions, and the inherent unpredictability of litigation and disputes with insurance companies, it is possible that an adverse outcome or settlement in certain matters could, from time to time, have a material adverse effect on the Company’s results of operations or cash flows in a particular quarterly or annual period.</w:t>
      </w:r>
    </w:p>
    <w:p>
      <w:pPr>
        <w:spacing w:after="0" w:line="126" w:lineRule="exact"/>
        <w:rPr>
          <w:sz w:val="20"/>
          <w:szCs w:val="20"/>
          <w:color w:val="auto"/>
        </w:rPr>
      </w:pPr>
    </w:p>
    <w:p>
      <w:pPr>
        <w:ind w:right="440"/>
        <w:spacing w:after="0" w:line="283" w:lineRule="auto"/>
        <w:rPr>
          <w:sz w:val="20"/>
          <w:szCs w:val="20"/>
          <w:color w:val="auto"/>
        </w:rPr>
      </w:pPr>
      <w:r>
        <w:rPr>
          <w:rFonts w:ascii="Times New Roman" w:cs="Times New Roman" w:eastAsia="Times New Roman" w:hAnsi="Times New Roman"/>
          <w:sz w:val="18"/>
          <w:szCs w:val="18"/>
          <w:color w:val="auto"/>
        </w:rPr>
        <w:t xml:space="preserve">The Company provides for contingent liabilities based on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when it is determined that a liability, inclusive of defense costs, is probable and reasonably estimable. The contingent liabilities recorded are primarily developed actuarially. Litigation</w:t>
      </w:r>
    </w:p>
    <w:p>
      <w:pPr>
        <w:spacing w:after="0" w:line="1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bookmarkStart w:id="117" w:name="page118"/>
    <w:bookmarkEnd w:id="117"/>
    <w:p>
      <w:pPr>
        <w:ind w:right="60"/>
        <w:spacing w:after="0" w:line="281" w:lineRule="auto"/>
        <w:rPr>
          <w:sz w:val="20"/>
          <w:szCs w:val="20"/>
          <w:color w:val="auto"/>
        </w:rPr>
      </w:pPr>
      <w:r>
        <w:rPr>
          <w:rFonts w:ascii="Times New Roman" w:cs="Times New Roman" w:eastAsia="Times New Roman" w:hAnsi="Times New Roman"/>
          <w:sz w:val="18"/>
          <w:szCs w:val="18"/>
          <w:color w:val="auto"/>
        </w:rPr>
        <w:t>is subject to many factors which are difficult to predict so there can be no assurance that in the event of a material unfavorable result in one or more claims, we will not incur material costs.</w:t>
      </w:r>
    </w:p>
    <w:p>
      <w:pPr>
        <w:spacing w:after="0" w:line="172" w:lineRule="exact"/>
        <w:rPr>
          <w:sz w:val="20"/>
          <w:szCs w:val="20"/>
          <w:color w:val="auto"/>
        </w:rPr>
      </w:pPr>
    </w:p>
    <w:p>
      <w:pPr>
        <w:ind w:right="5440"/>
        <w:spacing w:after="0" w:line="421" w:lineRule="auto"/>
        <w:rPr>
          <w:sz w:val="20"/>
          <w:szCs w:val="20"/>
          <w:color w:val="auto"/>
        </w:rPr>
      </w:pPr>
      <w:r>
        <w:rPr>
          <w:rFonts w:ascii="Times New Roman" w:cs="Times New Roman" w:eastAsia="Times New Roman" w:hAnsi="Times New Roman"/>
          <w:sz w:val="18"/>
          <w:szCs w:val="18"/>
          <w:b w:val="1"/>
          <w:bCs w:val="1"/>
          <w:color w:val="auto"/>
        </w:rPr>
        <w:t xml:space="preserve">Note 16 — Supplementary Information for Certain Balance Sheet Accounts </w:t>
      </w:r>
      <w:r>
        <w:rPr>
          <w:rFonts w:ascii="Times New Roman" w:cs="Times New Roman" w:eastAsia="Times New Roman" w:hAnsi="Times New Roman"/>
          <w:sz w:val="18"/>
          <w:szCs w:val="18"/>
          <w:color w:val="auto"/>
        </w:rPr>
        <w:t>Additional details of specific balance sheet accounts are detailed below. Prepaid and other current assets consist of the following:</w:t>
      </w:r>
    </w:p>
    <w:tbl>
      <w:tblPr>
        <w:tblLayout w:type="fixed"/>
        <w:tblInd w:w="0" w:type="dxa"/>
        <w:tblCellMar>
          <w:top w:w="0" w:type="dxa"/>
          <w:left w:w="0" w:type="dxa"/>
          <w:bottom w:w="0" w:type="dxa"/>
          <w:right w:w="0" w:type="dxa"/>
        </w:tblCellMar>
      </w:tblPr>
      <w:tr>
        <w:trPr>
          <w:trHeight w:val="149"/>
        </w:trPr>
        <w:tc>
          <w:tcPr>
            <w:tcW w:w="50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jc w:val="center"/>
              <w:ind w:right="254"/>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274"/>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50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Prepayments and accrued income</w:t>
            </w:r>
          </w:p>
        </w:tc>
        <w:tc>
          <w:tcPr>
            <w:tcW w:w="25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3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47"/>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contract costs</w:t>
            </w:r>
          </w:p>
        </w:tc>
        <w:tc>
          <w:tcPr>
            <w:tcW w:w="25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and investments</w:t>
            </w:r>
          </w:p>
        </w:tc>
        <w:tc>
          <w:tcPr>
            <w:tcW w:w="2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7"/>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25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income and other taxes</w:t>
            </w:r>
          </w:p>
        </w:tc>
        <w:tc>
          <w:tcPr>
            <w:tcW w:w="2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47"/>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Acquired renewal commissions receivable</w:t>
            </w:r>
          </w:p>
        </w:tc>
        <w:tc>
          <w:tcPr>
            <w:tcW w:w="25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76"/>
        </w:trPr>
        <w:tc>
          <w:tcPr>
            <w:tcW w:w="5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prepaid and other current assets</w:t>
            </w:r>
          </w:p>
        </w:tc>
        <w:tc>
          <w:tcPr>
            <w:tcW w:w="25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414</w:t>
            </w:r>
          </w:p>
        </w:tc>
        <w:tc>
          <w:tcPr>
            <w:tcW w:w="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40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 consist of the following:</w:t>
            </w:r>
          </w:p>
        </w:tc>
        <w:tc>
          <w:tcPr>
            <w:tcW w:w="2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08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50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Prepayments and accrued income</w:t>
            </w:r>
          </w:p>
        </w:tc>
        <w:tc>
          <w:tcPr>
            <w:tcW w:w="25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contract costs</w:t>
            </w:r>
          </w:p>
        </w:tc>
        <w:tc>
          <w:tcPr>
            <w:tcW w:w="2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47"/>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25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3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47"/>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5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renewal commissions receivable</w:t>
            </w:r>
          </w:p>
        </w:tc>
        <w:tc>
          <w:tcPr>
            <w:tcW w:w="2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47"/>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note receivable</w:t>
            </w:r>
          </w:p>
        </w:tc>
        <w:tc>
          <w:tcPr>
            <w:tcW w:w="25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2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47"/>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Insurance recovery receivables</w:t>
            </w:r>
          </w:p>
        </w:tc>
        <w:tc>
          <w:tcPr>
            <w:tcW w:w="25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contract assets</w:t>
            </w:r>
          </w:p>
        </w:tc>
        <w:tc>
          <w:tcPr>
            <w:tcW w:w="2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745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43"/>
        </w:trPr>
        <w:tc>
          <w:tcPr>
            <w:tcW w:w="5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5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4"/>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28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1,357</w:t>
            </w:r>
          </w:p>
        </w:tc>
        <w:tc>
          <w:tcPr>
            <w:tcW w:w="44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1,202</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revenue and accrued expenses consist of the following:</w:t>
            </w:r>
          </w:p>
        </w:tc>
        <w:tc>
          <w:tcPr>
            <w:tcW w:w="2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5080" w:type="dxa"/>
            <w:vAlign w:val="bottom"/>
            <w:vMerge w:val="continue"/>
          </w:tcPr>
          <w:p>
            <w:pPr>
              <w:spacing w:after="0"/>
              <w:rPr>
                <w:sz w:val="24"/>
                <w:szCs w:val="24"/>
                <w:color w:val="auto"/>
              </w:rPr>
            </w:pPr>
          </w:p>
        </w:tc>
        <w:tc>
          <w:tcPr>
            <w:tcW w:w="2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08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50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 accrued liabilities and deferred income</w:t>
            </w:r>
          </w:p>
        </w:tc>
        <w:tc>
          <w:tcPr>
            <w:tcW w:w="25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975</w:t>
            </w:r>
          </w:p>
        </w:tc>
        <w:tc>
          <w:tcPr>
            <w:tcW w:w="20" w:type="dxa"/>
            <w:vAlign w:val="bottom"/>
            <w:shd w:val="clear" w:color="auto" w:fill="CFF0FC"/>
          </w:tcPr>
          <w:p>
            <w:pPr>
              <w:spacing w:after="0"/>
              <w:rPr>
                <w:sz w:val="20"/>
                <w:szCs w:val="20"/>
                <w:color w:val="auto"/>
              </w:rPr>
            </w:pPr>
          </w:p>
        </w:tc>
        <w:tc>
          <w:tcPr>
            <w:tcW w:w="200" w:type="dxa"/>
            <w:vAlign w:val="bottom"/>
            <w:gridSpan w:val="2"/>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3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discretionary and incentive compensation</w:t>
            </w:r>
          </w:p>
        </w:tc>
        <w:tc>
          <w:tcPr>
            <w:tcW w:w="2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708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247"/>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vacation</w:t>
            </w:r>
          </w:p>
        </w:tc>
        <w:tc>
          <w:tcPr>
            <w:tcW w:w="25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142</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employee-related liabilities</w:t>
            </w:r>
          </w:p>
        </w:tc>
        <w:tc>
          <w:tcPr>
            <w:tcW w:w="25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76"/>
        </w:trPr>
        <w:tc>
          <w:tcPr>
            <w:tcW w:w="5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 revenue and accrued expenses</w:t>
            </w:r>
          </w:p>
        </w:tc>
        <w:tc>
          <w:tcPr>
            <w:tcW w:w="25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1,915</w:t>
            </w:r>
          </w:p>
        </w:tc>
        <w:tc>
          <w:tcPr>
            <w:tcW w:w="20" w:type="dxa"/>
            <w:vAlign w:val="bottom"/>
            <w:tcBorders>
              <w:bottom w:val="single" w:sz="8" w:color="auto"/>
            </w:tcBorders>
            <w:shd w:val="clear" w:color="auto" w:fill="CFF0FC"/>
          </w:tcPr>
          <w:p>
            <w:pPr>
              <w:spacing w:after="0"/>
              <w:rPr>
                <w:sz w:val="24"/>
                <w:szCs w:val="24"/>
                <w:color w:val="auto"/>
              </w:rPr>
            </w:pPr>
          </w:p>
        </w:tc>
        <w:tc>
          <w:tcPr>
            <w:tcW w:w="200" w:type="dxa"/>
            <w:vAlign w:val="bottom"/>
            <w:tcBorders>
              <w:bottom w:val="single" w:sz="8" w:color="CFF0FC"/>
            </w:tcBorders>
            <w:gridSpan w:val="2"/>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1,926</w:t>
            </w:r>
          </w:p>
        </w:tc>
        <w:tc>
          <w:tcPr>
            <w:tcW w:w="0" w:type="dxa"/>
            <w:vAlign w:val="bottom"/>
          </w:tcPr>
          <w:p>
            <w:pPr>
              <w:spacing w:after="0"/>
              <w:rPr>
                <w:sz w:val="1"/>
                <w:szCs w:val="1"/>
                <w:color w:val="auto"/>
              </w:rPr>
            </w:pPr>
          </w:p>
        </w:tc>
      </w:tr>
      <w:tr>
        <w:trPr>
          <w:trHeight w:val="628"/>
        </w:trPr>
        <w:tc>
          <w:tcPr>
            <w:tcW w:w="5080" w:type="dxa"/>
            <w:vAlign w:val="bottom"/>
          </w:tcPr>
          <w:p>
            <w:pPr>
              <w:spacing w:after="0"/>
              <w:rPr>
                <w:sz w:val="24"/>
                <w:szCs w:val="24"/>
                <w:color w:val="auto"/>
              </w:rPr>
            </w:pPr>
          </w:p>
        </w:tc>
        <w:tc>
          <w:tcPr>
            <w:tcW w:w="2580" w:type="dxa"/>
            <w:vAlign w:val="bottom"/>
          </w:tcPr>
          <w:p>
            <w:pPr>
              <w:jc w:val="right"/>
              <w:ind w:right="1810"/>
              <w:spacing w:after="0"/>
              <w:rPr>
                <w:sz w:val="20"/>
                <w:szCs w:val="20"/>
                <w:color w:val="auto"/>
              </w:rPr>
            </w:pPr>
            <w:r>
              <w:rPr>
                <w:rFonts w:ascii="Times New Roman" w:cs="Times New Roman" w:eastAsia="Times New Roman" w:hAnsi="Times New Roman"/>
                <w:sz w:val="18"/>
                <w:szCs w:val="18"/>
                <w:color w:val="auto"/>
              </w:rPr>
              <w:t>116</w:t>
            </w: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80" w:type="dxa"/>
            <w:vAlign w:val="bottom"/>
            <w:tcBorders>
              <w:bottom w:val="single" w:sz="8" w:color="9A9A9A"/>
            </w:tcBorders>
          </w:tcPr>
          <w:p>
            <w:pPr>
              <w:spacing w:after="0"/>
              <w:rPr>
                <w:sz w:val="9"/>
                <w:szCs w:val="9"/>
                <w:color w:val="auto"/>
              </w:rPr>
            </w:pPr>
          </w:p>
        </w:tc>
        <w:tc>
          <w:tcPr>
            <w:tcW w:w="25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5947410</wp:posOffset>
            </wp:positionH>
            <wp:positionV relativeFrom="paragraph">
              <wp:posOffset>-4306570</wp:posOffset>
            </wp:positionV>
            <wp:extent cx="12001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-4289425</wp:posOffset>
            </wp:positionV>
            <wp:extent cx="12001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-2037080</wp:posOffset>
            </wp:positionV>
            <wp:extent cx="120015" cy="18859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0015" cy="18859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-521970</wp:posOffset>
            </wp:positionV>
            <wp:extent cx="12001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-504825</wp:posOffset>
            </wp:positionV>
            <wp:extent cx="12001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color w:val="auto"/>
        </w:rPr>
        <w:t>Other current liabilities consist of the following: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gridSpan w:val="3"/>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ind w:right="39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6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9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Dividends payable</w:t>
            </w:r>
          </w:p>
        </w:tc>
        <w:tc>
          <w:tcPr>
            <w:tcW w:w="1020" w:type="dxa"/>
            <w:vAlign w:val="bottom"/>
            <w:shd w:val="clear" w:color="auto" w:fill="CFF0FC"/>
          </w:tcPr>
          <w:p>
            <w:pPr>
              <w:spacing w:after="0"/>
              <w:rPr>
                <w:sz w:val="20"/>
                <w:szCs w:val="20"/>
                <w:color w:val="auto"/>
              </w:rPr>
            </w:pPr>
          </w:p>
        </w:tc>
        <w:tc>
          <w:tcPr>
            <w:tcW w:w="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payable</w:t>
            </w:r>
          </w:p>
        </w:tc>
        <w:tc>
          <w:tcPr>
            <w:tcW w:w="10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plan liabilities</w:t>
            </w: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Contingent and deferred consideration on acquisitions</w:t>
            </w:r>
          </w:p>
        </w:tc>
        <w:tc>
          <w:tcPr>
            <w:tcW w:w="10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retirement benefits</w:t>
            </w: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Payroll and other benefits-related liabilities</w:t>
            </w:r>
          </w:p>
        </w:tc>
        <w:tc>
          <w:tcPr>
            <w:tcW w:w="10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Third-party commissions</w:t>
            </w:r>
          </w:p>
        </w:tc>
        <w:tc>
          <w:tcPr>
            <w:tcW w:w="10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76"/>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10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bottom w:val="single" w:sz="8" w:color="auto"/>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FF0FC"/>
          </w:tcPr>
          <w:p>
            <w:pPr>
              <w:spacing w:after="0"/>
              <w:rPr>
                <w:sz w:val="24"/>
                <w:szCs w:val="24"/>
                <w:color w:val="auto"/>
              </w:rPr>
            </w:pPr>
          </w:p>
        </w:tc>
        <w:tc>
          <w:tcPr>
            <w:tcW w:w="13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1,015</w:t>
            </w:r>
          </w:p>
        </w:tc>
        <w:tc>
          <w:tcPr>
            <w:tcW w:w="0" w:type="dxa"/>
            <w:vAlign w:val="bottom"/>
          </w:tcPr>
          <w:p>
            <w:pPr>
              <w:spacing w:after="0"/>
              <w:rPr>
                <w:sz w:val="1"/>
                <w:szCs w:val="1"/>
                <w:color w:val="auto"/>
              </w:rPr>
            </w:pPr>
          </w:p>
        </w:tc>
      </w:tr>
      <w:tr>
        <w:trPr>
          <w:trHeight w:val="403"/>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liabilities consists of the following:</w:t>
            </w: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6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3"/>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center"/>
              <w:ind w:right="39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6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9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Claims, lawsuits and other proceedings</w:t>
            </w:r>
          </w:p>
        </w:tc>
        <w:tc>
          <w:tcPr>
            <w:tcW w:w="1020" w:type="dxa"/>
            <w:vAlign w:val="bottom"/>
            <w:shd w:val="clear" w:color="auto" w:fill="CFF0FC"/>
          </w:tcPr>
          <w:p>
            <w:pPr>
              <w:spacing w:after="0"/>
              <w:rPr>
                <w:sz w:val="20"/>
                <w:szCs w:val="20"/>
                <w:color w:val="auto"/>
              </w:rPr>
            </w:pPr>
          </w:p>
        </w:tc>
        <w:tc>
          <w:tcPr>
            <w:tcW w:w="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provisions</w:t>
            </w:r>
          </w:p>
        </w:tc>
        <w:tc>
          <w:tcPr>
            <w:tcW w:w="10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76"/>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provision for liabilities</w:t>
            </w:r>
          </w:p>
        </w:tc>
        <w:tc>
          <w:tcPr>
            <w:tcW w:w="10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bottom w:val="single" w:sz="8" w:color="auto"/>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FF0FC"/>
          </w:tcPr>
          <w:p>
            <w:pPr>
              <w:spacing w:after="0"/>
              <w:rPr>
                <w:sz w:val="24"/>
                <w:szCs w:val="24"/>
                <w:color w:val="auto"/>
              </w:rPr>
            </w:pPr>
          </w:p>
        </w:tc>
        <w:tc>
          <w:tcPr>
            <w:tcW w:w="13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403"/>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 consist of the following:</w:t>
            </w: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6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3"/>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center"/>
              <w:ind w:right="39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6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9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compensation plan liability</w:t>
            </w:r>
          </w:p>
        </w:tc>
        <w:tc>
          <w:tcPr>
            <w:tcW w:w="1020" w:type="dxa"/>
            <w:vAlign w:val="bottom"/>
            <w:shd w:val="clear" w:color="auto" w:fill="CFF0FC"/>
          </w:tcPr>
          <w:p>
            <w:pPr>
              <w:spacing w:after="0"/>
              <w:rPr>
                <w:sz w:val="20"/>
                <w:szCs w:val="20"/>
                <w:color w:val="auto"/>
              </w:rPr>
            </w:pPr>
          </w:p>
        </w:tc>
        <w:tc>
          <w:tcPr>
            <w:tcW w:w="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and deferred consideration on acquisitions</w:t>
            </w: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 for uncertain tax positions</w:t>
            </w:r>
          </w:p>
        </w:tc>
        <w:tc>
          <w:tcPr>
            <w:tcW w:w="10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4"/>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102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5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17 — Other Income, Net</w:t>
            </w:r>
          </w:p>
        </w:tc>
        <w:tc>
          <w:tcPr>
            <w:tcW w:w="10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66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 consists of the following:</w:t>
            </w: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664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7"/>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40" w:type="dxa"/>
            <w:vAlign w:val="bottom"/>
          </w:tcPr>
          <w:p>
            <w:pPr>
              <w:spacing w:after="0"/>
              <w:rPr>
                <w:sz w:val="19"/>
                <w:szCs w:val="19"/>
                <w:color w:val="auto"/>
              </w:rPr>
            </w:pPr>
          </w:p>
        </w:tc>
        <w:tc>
          <w:tcPr>
            <w:tcW w:w="10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9"/>
                <w:szCs w:val="19"/>
                <w:color w:val="auto"/>
              </w:rPr>
            </w:pPr>
          </w:p>
        </w:tc>
        <w:tc>
          <w:tcPr>
            <w:tcW w:w="126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6"/>
        </w:trPr>
        <w:tc>
          <w:tcPr>
            <w:tcW w:w="664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Gain on disposal of operations </w:t>
            </w:r>
            <w:r>
              <w:rPr>
                <w:rFonts w:ascii="Times New Roman" w:cs="Times New Roman" w:eastAsia="Times New Roman" w:hAnsi="Times New Roman"/>
                <w:sz w:val="24"/>
                <w:szCs w:val="24"/>
                <w:color w:val="auto"/>
                <w:vertAlign w:val="superscript"/>
              </w:rPr>
              <w:t>(i)</w:t>
            </w:r>
          </w:p>
        </w:tc>
        <w:tc>
          <w:tcPr>
            <w:tcW w:w="1020" w:type="dxa"/>
            <w:vAlign w:val="bottom"/>
            <w:tcBorders>
              <w:top w:val="single" w:sz="8" w:color="auto"/>
            </w:tcBorders>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88"/>
              </w:rPr>
              <w:t>379</w:t>
            </w:r>
          </w:p>
        </w:tc>
        <w:tc>
          <w:tcPr>
            <w:tcW w:w="8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pension and postretirement benefit credits</w:t>
            </w:r>
          </w:p>
        </w:tc>
        <w:tc>
          <w:tcPr>
            <w:tcW w:w="102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303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 earnings of associates and other investments</w:t>
            </w:r>
          </w:p>
        </w:tc>
        <w:tc>
          <w:tcPr>
            <w:tcW w:w="102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66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Foreign exchange gain </w:t>
            </w:r>
            <w:r>
              <w:rPr>
                <w:rFonts w:ascii="Times New Roman" w:cs="Times New Roman" w:eastAsia="Times New Roman" w:hAnsi="Times New Roman"/>
                <w:sz w:val="24"/>
                <w:szCs w:val="24"/>
                <w:color w:val="auto"/>
                <w:vertAlign w:val="superscript"/>
              </w:rPr>
              <w:t>(ii)</w:t>
            </w:r>
          </w:p>
        </w:tc>
        <w:tc>
          <w:tcPr>
            <w:tcW w:w="10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8"/>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spacing w:after="0"/>
              <w:rPr>
                <w:sz w:val="20"/>
                <w:szCs w:val="20"/>
                <w:color w:val="auto"/>
              </w:rPr>
            </w:pPr>
          </w:p>
        </w:tc>
        <w:tc>
          <w:tcPr>
            <w:tcW w:w="30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02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288</w:t>
            </w:r>
          </w:p>
        </w:tc>
        <w:tc>
          <w:tcPr>
            <w:tcW w:w="1260" w:type="dxa"/>
            <w:vAlign w:val="bottom"/>
            <w:gridSpan w:val="3"/>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701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5947410</wp:posOffset>
            </wp:positionH>
            <wp:positionV relativeFrom="paragraph">
              <wp:posOffset>-4486275</wp:posOffset>
            </wp:positionV>
            <wp:extent cx="12001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-4469130</wp:posOffset>
            </wp:positionV>
            <wp:extent cx="12001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-3441700</wp:posOffset>
            </wp:positionV>
            <wp:extent cx="12001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-3424555</wp:posOffset>
            </wp:positionV>
            <wp:extent cx="12001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-2097405</wp:posOffset>
            </wp:positionV>
            <wp:extent cx="120015" cy="18859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0015" cy="18859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-187960</wp:posOffset>
            </wp:positionV>
            <wp:extent cx="102870" cy="18859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-187960</wp:posOffset>
            </wp:positionV>
            <wp:extent cx="93980" cy="18859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95059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27" w:lineRule="exact"/>
        <w:rPr>
          <w:sz w:val="20"/>
          <w:szCs w:val="20"/>
          <w:color w:val="auto"/>
        </w:rPr>
      </w:pPr>
    </w:p>
    <w:p>
      <w:pPr>
        <w:ind w:left="280" w:hanging="272"/>
        <w:spacing w:after="0"/>
        <w:tabs>
          <w:tab w:leader="none" w:pos="2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2022, includes a $24 million non-cash revaluation gain related to an acquisition completed in stages.</w:t>
      </w:r>
    </w:p>
    <w:p>
      <w:pPr>
        <w:spacing w:after="0" w:line="27"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offsetting effects of the Company's foreign currency hedging program. See Note 10 — Derivative Financial Instruments.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Note 18 — Accumulated Other Comprehensive Loss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other comprehensive (loss)/income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4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440" w:type="dxa"/>
            <w:vAlign w:val="bottom"/>
          </w:tcPr>
          <w:p>
            <w:pPr>
              <w:spacing w:after="0"/>
              <w:rPr>
                <w:sz w:val="11"/>
                <w:szCs w:val="11"/>
                <w:color w:val="auto"/>
              </w:rPr>
            </w:pPr>
          </w:p>
        </w:tc>
        <w:tc>
          <w:tcPr>
            <w:tcW w:w="6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Before</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center"/>
              <w:ind w:right="148"/>
              <w:spacing w:after="0" w:line="131" w:lineRule="exact"/>
              <w:rPr>
                <w:sz w:val="20"/>
                <w:szCs w:val="20"/>
                <w:color w:val="auto"/>
              </w:rPr>
            </w:pPr>
            <w:r>
              <w:rPr>
                <w:rFonts w:ascii="Times New Roman" w:cs="Times New Roman" w:eastAsia="Times New Roman" w:hAnsi="Times New Roman"/>
                <w:sz w:val="14"/>
                <w:szCs w:val="14"/>
                <w:b w:val="1"/>
                <w:bCs w:val="1"/>
                <w:color w:val="auto"/>
                <w:w w:val="99"/>
              </w:rPr>
              <w:t>Net of</w:t>
            </w:r>
          </w:p>
        </w:tc>
        <w:tc>
          <w:tcPr>
            <w:tcW w:w="120" w:type="dxa"/>
            <w:vAlign w:val="bottom"/>
          </w:tcPr>
          <w:p>
            <w:pPr>
              <w:spacing w:after="0"/>
              <w:rPr>
                <w:sz w:val="11"/>
                <w:szCs w:val="11"/>
                <w:color w:val="auto"/>
              </w:rPr>
            </w:pPr>
          </w:p>
        </w:tc>
        <w:tc>
          <w:tcPr>
            <w:tcW w:w="5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Before</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center"/>
              <w:ind w:right="148"/>
              <w:spacing w:after="0" w:line="131" w:lineRule="exact"/>
              <w:rPr>
                <w:sz w:val="20"/>
                <w:szCs w:val="20"/>
                <w:color w:val="auto"/>
              </w:rPr>
            </w:pPr>
            <w:r>
              <w:rPr>
                <w:rFonts w:ascii="Times New Roman" w:cs="Times New Roman" w:eastAsia="Times New Roman" w:hAnsi="Times New Roman"/>
                <w:sz w:val="14"/>
                <w:szCs w:val="14"/>
                <w:b w:val="1"/>
                <w:bCs w:val="1"/>
                <w:color w:val="auto"/>
                <w:w w:val="99"/>
              </w:rPr>
              <w:t>Net of</w:t>
            </w:r>
          </w:p>
        </w:tc>
        <w:tc>
          <w:tcPr>
            <w:tcW w:w="80" w:type="dxa"/>
            <w:vAlign w:val="bottom"/>
          </w:tcPr>
          <w:p>
            <w:pPr>
              <w:spacing w:after="0"/>
              <w:rPr>
                <w:sz w:val="11"/>
                <w:szCs w:val="11"/>
                <w:color w:val="auto"/>
              </w:rPr>
            </w:pPr>
          </w:p>
        </w:tc>
        <w:tc>
          <w:tcPr>
            <w:tcW w:w="5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Before</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ind w:right="148"/>
              <w:spacing w:after="0" w:line="131" w:lineRule="exact"/>
              <w:rPr>
                <w:sz w:val="20"/>
                <w:szCs w:val="20"/>
                <w:color w:val="auto"/>
              </w:rPr>
            </w:pPr>
            <w:r>
              <w:rPr>
                <w:rFonts w:ascii="Times New Roman" w:cs="Times New Roman" w:eastAsia="Times New Roman" w:hAnsi="Times New Roman"/>
                <w:sz w:val="14"/>
                <w:szCs w:val="14"/>
                <w:b w:val="1"/>
                <w:bCs w:val="1"/>
                <w:color w:val="auto"/>
                <w:w w:val="99"/>
              </w:rPr>
              <w:t>Net of</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tax</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Tax</w:t>
            </w:r>
          </w:p>
        </w:tc>
        <w:tc>
          <w:tcPr>
            <w:tcW w:w="74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tax</w:t>
            </w:r>
          </w:p>
        </w:tc>
        <w:tc>
          <w:tcPr>
            <w:tcW w:w="1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tax</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Tax</w:t>
            </w:r>
          </w:p>
        </w:tc>
        <w:tc>
          <w:tcPr>
            <w:tcW w:w="70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tax</w:t>
            </w:r>
          </w:p>
        </w:tc>
        <w:tc>
          <w:tcPr>
            <w:tcW w:w="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tax</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4"/>
              </w:rPr>
              <w:t>Tax</w:t>
            </w:r>
          </w:p>
        </w:tc>
        <w:tc>
          <w:tcPr>
            <w:tcW w:w="70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tax</w:t>
            </w:r>
          </w:p>
        </w:tc>
        <w:tc>
          <w:tcPr>
            <w:tcW w:w="0" w:type="dxa"/>
            <w:vAlign w:val="bottom"/>
          </w:tcPr>
          <w:p>
            <w:pPr>
              <w:spacing w:after="0"/>
              <w:rPr>
                <w:sz w:val="1"/>
                <w:szCs w:val="1"/>
                <w:color w:val="auto"/>
              </w:rPr>
            </w:pPr>
          </w:p>
        </w:tc>
      </w:tr>
      <w:tr>
        <w:trPr>
          <w:trHeight w:val="187"/>
        </w:trPr>
        <w:tc>
          <w:tcPr>
            <w:tcW w:w="344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7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58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7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58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7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80"/>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(loss)/income:</w:t>
            </w:r>
          </w:p>
        </w:tc>
        <w:tc>
          <w:tcPr>
            <w:tcW w:w="62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tcBorders>
              <w:top w:val="single" w:sz="8" w:color="auto"/>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57"/>
        </w:trPr>
        <w:tc>
          <w:tcPr>
            <w:tcW w:w="3440" w:type="dxa"/>
            <w:vAlign w:val="bottom"/>
            <w:shd w:val="clear" w:color="auto" w:fill="CFF0FC"/>
          </w:tcPr>
          <w:p>
            <w:pPr>
              <w:spacing w:after="0"/>
              <w:rPr>
                <w:sz w:val="4"/>
                <w:szCs w:val="4"/>
                <w:color w:val="auto"/>
              </w:rPr>
            </w:pPr>
          </w:p>
        </w:tc>
        <w:tc>
          <w:tcPr>
            <w:tcW w:w="620" w:type="dxa"/>
            <w:vAlign w:val="bottom"/>
            <w:shd w:val="clear" w:color="auto" w:fill="CFF0FC"/>
          </w:tcPr>
          <w:p>
            <w:pPr>
              <w:spacing w:after="0"/>
              <w:rPr>
                <w:sz w:val="4"/>
                <w:szCs w:val="4"/>
                <w:color w:val="auto"/>
              </w:rPr>
            </w:pPr>
          </w:p>
        </w:tc>
        <w:tc>
          <w:tcPr>
            <w:tcW w:w="18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80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60" w:type="dxa"/>
            <w:vAlign w:val="bottom"/>
            <w:shd w:val="clear" w:color="auto" w:fill="CFF0FC"/>
          </w:tcPr>
          <w:p>
            <w:pPr>
              <w:spacing w:after="0"/>
              <w:rPr>
                <w:sz w:val="4"/>
                <w:szCs w:val="4"/>
                <w:color w:val="auto"/>
              </w:rPr>
            </w:pPr>
          </w:p>
        </w:tc>
        <w:tc>
          <w:tcPr>
            <w:tcW w:w="74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580" w:type="dxa"/>
            <w:vAlign w:val="bottom"/>
            <w:shd w:val="clear" w:color="auto" w:fill="CFF0FC"/>
          </w:tcPr>
          <w:p>
            <w:pPr>
              <w:spacing w:after="0"/>
              <w:rPr>
                <w:sz w:val="4"/>
                <w:szCs w:val="4"/>
                <w:color w:val="auto"/>
              </w:rPr>
            </w:pPr>
          </w:p>
        </w:tc>
        <w:tc>
          <w:tcPr>
            <w:tcW w:w="220" w:type="dxa"/>
            <w:vAlign w:val="bottom"/>
            <w:shd w:val="clear" w:color="auto" w:fill="CFF0FC"/>
          </w:tcPr>
          <w:p>
            <w:pPr>
              <w:spacing w:after="0"/>
              <w:rPr>
                <w:sz w:val="4"/>
                <w:szCs w:val="4"/>
                <w:color w:val="auto"/>
              </w:rPr>
            </w:pPr>
          </w:p>
        </w:tc>
        <w:tc>
          <w:tcPr>
            <w:tcW w:w="80" w:type="dxa"/>
            <w:vAlign w:val="bottom"/>
            <w:shd w:val="clear" w:color="auto" w:fill="CFF0FC"/>
          </w:tcPr>
          <w:p>
            <w:pPr>
              <w:spacing w:after="0"/>
              <w:rPr>
                <w:sz w:val="4"/>
                <w:szCs w:val="4"/>
                <w:color w:val="auto"/>
              </w:rPr>
            </w:pPr>
          </w:p>
        </w:tc>
        <w:tc>
          <w:tcPr>
            <w:tcW w:w="760" w:type="dxa"/>
            <w:vAlign w:val="bottom"/>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60" w:type="dxa"/>
            <w:vAlign w:val="bottom"/>
            <w:shd w:val="clear" w:color="auto" w:fill="CFF0FC"/>
          </w:tcPr>
          <w:p>
            <w:pPr>
              <w:spacing w:after="0"/>
              <w:rPr>
                <w:sz w:val="4"/>
                <w:szCs w:val="4"/>
                <w:color w:val="auto"/>
              </w:rPr>
            </w:pPr>
          </w:p>
        </w:tc>
        <w:tc>
          <w:tcPr>
            <w:tcW w:w="700" w:type="dxa"/>
            <w:vAlign w:val="bottom"/>
            <w:shd w:val="clear" w:color="auto" w:fill="CFF0FC"/>
          </w:tcPr>
          <w:p>
            <w:pPr>
              <w:spacing w:after="0"/>
              <w:rPr>
                <w:sz w:val="4"/>
                <w:szCs w:val="4"/>
                <w:color w:val="auto"/>
              </w:rPr>
            </w:pPr>
          </w:p>
        </w:tc>
        <w:tc>
          <w:tcPr>
            <w:tcW w:w="80" w:type="dxa"/>
            <w:vAlign w:val="bottom"/>
            <w:shd w:val="clear" w:color="auto" w:fill="CFF0FC"/>
          </w:tcPr>
          <w:p>
            <w:pPr>
              <w:spacing w:after="0"/>
              <w:rPr>
                <w:sz w:val="4"/>
                <w:szCs w:val="4"/>
                <w:color w:val="auto"/>
              </w:rPr>
            </w:pPr>
          </w:p>
        </w:tc>
        <w:tc>
          <w:tcPr>
            <w:tcW w:w="580" w:type="dxa"/>
            <w:vAlign w:val="bottom"/>
            <w:shd w:val="clear" w:color="auto" w:fill="CFF0FC"/>
          </w:tcPr>
          <w:p>
            <w:pPr>
              <w:spacing w:after="0"/>
              <w:rPr>
                <w:sz w:val="4"/>
                <w:szCs w:val="4"/>
                <w:color w:val="auto"/>
              </w:rPr>
            </w:pPr>
          </w:p>
        </w:tc>
        <w:tc>
          <w:tcPr>
            <w:tcW w:w="180" w:type="dxa"/>
            <w:vAlign w:val="bottom"/>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720" w:type="dxa"/>
            <w:vAlign w:val="bottom"/>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80" w:type="dxa"/>
            <w:vAlign w:val="bottom"/>
            <w:shd w:val="clear" w:color="auto" w:fill="CFF0FC"/>
          </w:tcPr>
          <w:p>
            <w:pPr>
              <w:spacing w:after="0"/>
              <w:rPr>
                <w:sz w:val="4"/>
                <w:szCs w:val="4"/>
                <w:color w:val="auto"/>
              </w:rPr>
            </w:pPr>
          </w:p>
        </w:tc>
        <w:tc>
          <w:tcPr>
            <w:tcW w:w="700" w:type="dxa"/>
            <w:vAlign w:val="bottom"/>
            <w:shd w:val="clear" w:color="auto" w:fill="CFF0FC"/>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(499 )</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(499 )</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47"/>
        </w:trPr>
        <w:tc>
          <w:tcPr>
            <w:tcW w:w="3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Defined pension and post-retirement benefits</w:t>
            </w:r>
          </w:p>
        </w:tc>
        <w:tc>
          <w:tcPr>
            <w:tcW w:w="22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343</w:t>
            </w: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(342 )</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(266 )</w:t>
            </w:r>
          </w:p>
        </w:tc>
        <w:tc>
          <w:tcPr>
            <w:tcW w:w="0" w:type="dxa"/>
            <w:vAlign w:val="bottom"/>
          </w:tcPr>
          <w:p>
            <w:pPr>
              <w:spacing w:after="0"/>
              <w:rPr>
                <w:sz w:val="1"/>
                <w:szCs w:val="1"/>
                <w:color w:val="auto"/>
              </w:rPr>
            </w:pPr>
          </w:p>
        </w:tc>
      </w:tr>
      <w:tr>
        <w:trPr>
          <w:trHeight w:val="238"/>
        </w:trPr>
        <w:tc>
          <w:tcPr>
            <w:tcW w:w="3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Derivative instruments</w:t>
            </w: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40"/>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(loss)/income</w:t>
            </w:r>
          </w:p>
        </w:tc>
        <w:tc>
          <w:tcPr>
            <w:tcW w:w="22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(418 )</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(436 )</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0" w:type="dxa"/>
            <w:vAlign w:val="bottom"/>
          </w:tcPr>
          <w:p>
            <w:pPr>
              <w:spacing w:after="0"/>
              <w:rPr>
                <w:sz w:val="1"/>
                <w:szCs w:val="1"/>
                <w:color w:val="auto"/>
              </w:rPr>
            </w:pPr>
          </w:p>
        </w:tc>
      </w:tr>
      <w:tr>
        <w:trPr>
          <w:trHeight w:val="139"/>
        </w:trPr>
        <w:tc>
          <w:tcPr>
            <w:tcW w:w="34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Less: Other comprehensive loss/(income)</w:t>
            </w:r>
          </w:p>
        </w:tc>
        <w:tc>
          <w:tcPr>
            <w:tcW w:w="220" w:type="dxa"/>
            <w:vAlign w:val="bottom"/>
          </w:tcPr>
          <w:p>
            <w:pPr>
              <w:spacing w:after="0"/>
              <w:rPr>
                <w:sz w:val="12"/>
                <w:szCs w:val="12"/>
                <w:color w:val="auto"/>
              </w:rPr>
            </w:pPr>
          </w:p>
        </w:tc>
        <w:tc>
          <w:tcPr>
            <w:tcW w:w="5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171"/>
        </w:trPr>
        <w:tc>
          <w:tcPr>
            <w:tcW w:w="34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attributable to non-controlling interests</w:t>
            </w: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(loss)/income attributable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(417 )</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(435 )</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253</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173</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0" w:type="dxa"/>
            <w:vAlign w:val="bottom"/>
          </w:tcPr>
          <w:p>
            <w:pPr>
              <w:spacing w:after="0"/>
              <w:rPr>
                <w:sz w:val="1"/>
                <w:szCs w:val="1"/>
                <w:color w:val="auto"/>
              </w:rPr>
            </w:pPr>
          </w:p>
        </w:tc>
      </w:tr>
      <w:tr>
        <w:trPr>
          <w:trHeight w:val="107"/>
        </w:trPr>
        <w:tc>
          <w:tcPr>
            <w:tcW w:w="3440" w:type="dxa"/>
            <w:vAlign w:val="bottom"/>
            <w:tcBorders>
              <w:bottom w:val="single" w:sz="8" w:color="CFF0FC"/>
            </w:tcBorders>
            <w:shd w:val="clear" w:color="auto" w:fill="CFF0FC"/>
          </w:tcPr>
          <w:p>
            <w:pPr>
              <w:ind w:left="120"/>
              <w:spacing w:after="0" w:line="48" w:lineRule="exact"/>
              <w:rPr>
                <w:sz w:val="20"/>
                <w:szCs w:val="20"/>
                <w:color w:val="auto"/>
              </w:rPr>
            </w:pPr>
            <w:r>
              <w:rPr>
                <w:rFonts w:ascii="Times New Roman" w:cs="Times New Roman" w:eastAsia="Times New Roman" w:hAnsi="Times New Roman"/>
                <w:sz w:val="5"/>
                <w:szCs w:val="5"/>
                <w:color w:val="auto"/>
              </w:rPr>
              <w:t>to WTW</w:t>
            </w:r>
          </w:p>
        </w:tc>
        <w:tc>
          <w:tcPr>
            <w:tcW w:w="220" w:type="dxa"/>
            <w:vAlign w:val="bottom"/>
            <w:tcBorders>
              <w:bottom w:val="single" w:sz="8" w:color="auto"/>
            </w:tcBorders>
            <w:shd w:val="clear" w:color="auto" w:fill="CFF0FC"/>
          </w:tcPr>
          <w:p>
            <w:pPr>
              <w:spacing w:after="0"/>
              <w:rPr>
                <w:sz w:val="9"/>
                <w:szCs w:val="9"/>
                <w:color w:val="auto"/>
              </w:rPr>
            </w:pPr>
          </w:p>
        </w:tc>
        <w:tc>
          <w:tcPr>
            <w:tcW w:w="580" w:type="dxa"/>
            <w:vAlign w:val="bottom"/>
            <w:tcBorders>
              <w:bottom w:val="single" w:sz="8" w:color="auto"/>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260" w:type="dxa"/>
            <w:vAlign w:val="bottom"/>
            <w:tcBorders>
              <w:bottom w:val="single" w:sz="8" w:color="auto"/>
            </w:tcBorders>
            <w:shd w:val="clear" w:color="auto" w:fill="CFF0FC"/>
          </w:tcPr>
          <w:p>
            <w:pPr>
              <w:spacing w:after="0"/>
              <w:rPr>
                <w:sz w:val="9"/>
                <w:szCs w:val="9"/>
                <w:color w:val="auto"/>
              </w:rPr>
            </w:pPr>
          </w:p>
        </w:tc>
        <w:tc>
          <w:tcPr>
            <w:tcW w:w="540" w:type="dxa"/>
            <w:vAlign w:val="bottom"/>
            <w:tcBorders>
              <w:bottom w:val="single" w:sz="8" w:color="auto"/>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220" w:type="dxa"/>
            <w:vAlign w:val="bottom"/>
            <w:tcBorders>
              <w:bottom w:val="single" w:sz="8" w:color="auto"/>
            </w:tcBorders>
            <w:shd w:val="clear" w:color="auto" w:fill="CFF0FC"/>
          </w:tcPr>
          <w:p>
            <w:pPr>
              <w:spacing w:after="0"/>
              <w:rPr>
                <w:sz w:val="9"/>
                <w:szCs w:val="9"/>
                <w:color w:val="auto"/>
              </w:rPr>
            </w:pPr>
          </w:p>
        </w:tc>
        <w:tc>
          <w:tcPr>
            <w:tcW w:w="580" w:type="dxa"/>
            <w:vAlign w:val="bottom"/>
            <w:tcBorders>
              <w:bottom w:val="single" w:sz="8" w:color="auto"/>
            </w:tcBorders>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240" w:type="dxa"/>
            <w:vAlign w:val="bottom"/>
            <w:tcBorders>
              <w:bottom w:val="single" w:sz="8" w:color="auto"/>
            </w:tcBorders>
            <w:shd w:val="clear" w:color="auto" w:fill="CFF0FC"/>
          </w:tcPr>
          <w:p>
            <w:pPr>
              <w:spacing w:after="0"/>
              <w:rPr>
                <w:sz w:val="9"/>
                <w:szCs w:val="9"/>
                <w:color w:val="auto"/>
              </w:rPr>
            </w:pPr>
          </w:p>
        </w:tc>
        <w:tc>
          <w:tcPr>
            <w:tcW w:w="560" w:type="dxa"/>
            <w:vAlign w:val="bottom"/>
            <w:tcBorders>
              <w:bottom w:val="single" w:sz="8" w:color="auto"/>
            </w:tcBorders>
            <w:shd w:val="clear" w:color="auto" w:fill="CFF0FC"/>
          </w:tcPr>
          <w:p>
            <w:pPr>
              <w:spacing w:after="0"/>
              <w:rPr>
                <w:sz w:val="9"/>
                <w:szCs w:val="9"/>
                <w:color w:val="auto"/>
              </w:rPr>
            </w:pPr>
          </w:p>
        </w:tc>
        <w:tc>
          <w:tcPr>
            <w:tcW w:w="80" w:type="dxa"/>
            <w:vAlign w:val="bottom"/>
            <w:tcBorders>
              <w:bottom w:val="single" w:sz="8" w:color="CFF0FC"/>
            </w:tcBorders>
            <w:shd w:val="clear" w:color="auto" w:fill="CFF0FC"/>
          </w:tcPr>
          <w:p>
            <w:pPr>
              <w:spacing w:after="0"/>
              <w:rPr>
                <w:sz w:val="9"/>
                <w:szCs w:val="9"/>
                <w:color w:val="auto"/>
              </w:rPr>
            </w:pPr>
          </w:p>
        </w:tc>
        <w:tc>
          <w:tcPr>
            <w:tcW w:w="260" w:type="dxa"/>
            <w:vAlign w:val="bottom"/>
            <w:tcBorders>
              <w:bottom w:val="single" w:sz="8" w:color="auto"/>
            </w:tcBorders>
            <w:shd w:val="clear" w:color="auto" w:fill="CFF0FC"/>
          </w:tcPr>
          <w:p>
            <w:pPr>
              <w:spacing w:after="0"/>
              <w:rPr>
                <w:sz w:val="9"/>
                <w:szCs w:val="9"/>
                <w:color w:val="auto"/>
              </w:rPr>
            </w:pPr>
          </w:p>
        </w:tc>
        <w:tc>
          <w:tcPr>
            <w:tcW w:w="500" w:type="dxa"/>
            <w:vAlign w:val="bottom"/>
            <w:tcBorders>
              <w:bottom w:val="single" w:sz="8" w:color="auto"/>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240" w:type="dxa"/>
            <w:vAlign w:val="bottom"/>
            <w:tcBorders>
              <w:bottom w:val="single" w:sz="8" w:color="auto"/>
            </w:tcBorders>
            <w:shd w:val="clear" w:color="auto" w:fill="CFF0FC"/>
          </w:tcPr>
          <w:p>
            <w:pPr>
              <w:spacing w:after="0"/>
              <w:rPr>
                <w:sz w:val="9"/>
                <w:szCs w:val="9"/>
                <w:color w:val="auto"/>
              </w:rPr>
            </w:pPr>
          </w:p>
        </w:tc>
        <w:tc>
          <w:tcPr>
            <w:tcW w:w="520" w:type="dxa"/>
            <w:vAlign w:val="bottom"/>
            <w:tcBorders>
              <w:bottom w:val="single" w:sz="8" w:color="auto"/>
            </w:tcBorders>
            <w:shd w:val="clear" w:color="auto" w:fill="CFF0FC"/>
          </w:tcPr>
          <w:p>
            <w:pPr>
              <w:spacing w:after="0"/>
              <w:rPr>
                <w:sz w:val="9"/>
                <w:szCs w:val="9"/>
                <w:color w:val="auto"/>
              </w:rPr>
            </w:pPr>
          </w:p>
        </w:tc>
        <w:tc>
          <w:tcPr>
            <w:tcW w:w="80" w:type="dxa"/>
            <w:vAlign w:val="bottom"/>
            <w:tcBorders>
              <w:bottom w:val="single" w:sz="8" w:color="CFF0FC"/>
            </w:tcBorders>
            <w:shd w:val="clear" w:color="auto" w:fill="CFF0FC"/>
          </w:tcPr>
          <w:p>
            <w:pPr>
              <w:spacing w:after="0"/>
              <w:rPr>
                <w:sz w:val="9"/>
                <w:szCs w:val="9"/>
                <w:color w:val="auto"/>
              </w:rPr>
            </w:pPr>
          </w:p>
        </w:tc>
        <w:tc>
          <w:tcPr>
            <w:tcW w:w="200" w:type="dxa"/>
            <w:vAlign w:val="bottom"/>
            <w:tcBorders>
              <w:bottom w:val="single" w:sz="8" w:color="auto"/>
            </w:tcBorders>
            <w:shd w:val="clear" w:color="auto" w:fill="CFF0FC"/>
          </w:tcPr>
          <w:p>
            <w:pPr>
              <w:spacing w:after="0"/>
              <w:rPr>
                <w:sz w:val="9"/>
                <w:szCs w:val="9"/>
                <w:color w:val="auto"/>
              </w:rPr>
            </w:pPr>
          </w:p>
        </w:tc>
        <w:tc>
          <w:tcPr>
            <w:tcW w:w="560" w:type="dxa"/>
            <w:vAlign w:val="bottom"/>
            <w:tcBorders>
              <w:bottom w:val="single" w:sz="8" w:color="auto"/>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260" w:type="dxa"/>
            <w:vAlign w:val="bottom"/>
            <w:tcBorders>
              <w:bottom w:val="single" w:sz="8" w:color="auto"/>
            </w:tcBorders>
            <w:shd w:val="clear" w:color="auto" w:fill="CFF0FC"/>
          </w:tcPr>
          <w:p>
            <w:pPr>
              <w:spacing w:after="0"/>
              <w:rPr>
                <w:sz w:val="9"/>
                <w:szCs w:val="9"/>
                <w:color w:val="auto"/>
              </w:rPr>
            </w:pPr>
          </w:p>
        </w:tc>
        <w:tc>
          <w:tcPr>
            <w:tcW w:w="460" w:type="dxa"/>
            <w:vAlign w:val="bottom"/>
            <w:tcBorders>
              <w:bottom w:val="single" w:sz="8" w:color="auto"/>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220" w:type="dxa"/>
            <w:vAlign w:val="bottom"/>
            <w:tcBorders>
              <w:bottom w:val="single" w:sz="8" w:color="auto"/>
            </w:tcBorders>
            <w:shd w:val="clear" w:color="auto" w:fill="CFF0FC"/>
          </w:tcPr>
          <w:p>
            <w:pPr>
              <w:spacing w:after="0"/>
              <w:rPr>
                <w:sz w:val="9"/>
                <w:szCs w:val="9"/>
                <w:color w:val="auto"/>
              </w:rPr>
            </w:pPr>
          </w:p>
        </w:tc>
        <w:tc>
          <w:tcPr>
            <w:tcW w:w="560" w:type="dxa"/>
            <w:vAlign w:val="bottom"/>
            <w:tcBorders>
              <w:bottom w:val="single" w:sz="8" w:color="auto"/>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2693670</wp:posOffset>
            </wp:positionH>
            <wp:positionV relativeFrom="paragraph">
              <wp:posOffset>-24765</wp:posOffset>
            </wp:positionV>
            <wp:extent cx="7683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2693670</wp:posOffset>
            </wp:positionH>
            <wp:positionV relativeFrom="paragraph">
              <wp:posOffset>-7620</wp:posOffset>
            </wp:positionV>
            <wp:extent cx="7683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3275965</wp:posOffset>
            </wp:positionH>
            <wp:positionV relativeFrom="paragraph">
              <wp:posOffset>-24765</wp:posOffset>
            </wp:positionV>
            <wp:extent cx="7683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3275965</wp:posOffset>
            </wp:positionH>
            <wp:positionV relativeFrom="paragraph">
              <wp:posOffset>-7620</wp:posOffset>
            </wp:positionV>
            <wp:extent cx="7683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-24765</wp:posOffset>
            </wp:positionV>
            <wp:extent cx="7683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-7620</wp:posOffset>
            </wp:positionV>
            <wp:extent cx="7683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-24765</wp:posOffset>
            </wp:positionV>
            <wp:extent cx="5969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-7620</wp:posOffset>
            </wp:positionV>
            <wp:extent cx="5969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-24765</wp:posOffset>
            </wp:positionV>
            <wp:extent cx="5969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-7620</wp:posOffset>
            </wp:positionV>
            <wp:extent cx="5969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-24765</wp:posOffset>
            </wp:positionV>
            <wp:extent cx="5969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-7620</wp:posOffset>
            </wp:positionV>
            <wp:extent cx="5969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5969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5969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6581140</wp:posOffset>
            </wp:positionH>
            <wp:positionV relativeFrom="paragraph">
              <wp:posOffset>-24765</wp:posOffset>
            </wp:positionV>
            <wp:extent cx="5969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6581140</wp:posOffset>
            </wp:positionH>
            <wp:positionV relativeFrom="paragraph">
              <wp:posOffset>-7620</wp:posOffset>
            </wp:positionV>
            <wp:extent cx="5969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4"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Changes in accumulated other comprehensive loss, net of non-controlling interests and net of tax are provided in the following table. This table excludes amounts attributable to non-controlling interests, which are not material for further disclosure.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Defined pension</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300" w:type="dxa"/>
            <w:vAlign w:val="bottom"/>
            <w:gridSpan w:val="2"/>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w w:val="99"/>
              </w:rPr>
              <w:t>Derivative</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and post-</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6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134"/>
              <w:spacing w:after="0" w:line="146"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vMerge w:val="restart"/>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6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0"/>
                <w:szCs w:val="10"/>
                <w:b w:val="1"/>
                <w:bCs w:val="1"/>
                <w:color w:val="auto"/>
                <w:w w:val="84"/>
              </w:rPr>
              <w:t>(i)</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4"/>
              <w:spacing w:after="0" w:line="189" w:lineRule="exact"/>
              <w:rPr>
                <w:sz w:val="20"/>
                <w:szCs w:val="20"/>
                <w:color w:val="auto"/>
              </w:rPr>
            </w:pPr>
            <w:r>
              <w:rPr>
                <w:rFonts w:ascii="Times New Roman" w:cs="Times New Roman" w:eastAsia="Times New Roman" w:hAnsi="Times New Roman"/>
                <w:sz w:val="14"/>
                <w:szCs w:val="14"/>
                <w:b w:val="1"/>
                <w:bCs w:val="1"/>
                <w:color w:val="auto"/>
                <w:w w:val="97"/>
              </w:rPr>
              <w:t xml:space="preserve">benefit costs </w:t>
            </w:r>
            <w:r>
              <w:rPr>
                <w:rFonts w:ascii="Times New Roman" w:cs="Times New Roman" w:eastAsia="Times New Roman" w:hAnsi="Times New Roman"/>
                <w:sz w:val="19"/>
                <w:szCs w:val="19"/>
                <w:b w:val="1"/>
                <w:bCs w:val="1"/>
                <w:color w:val="auto"/>
                <w:w w:val="97"/>
                <w:vertAlign w:val="superscript"/>
              </w:rPr>
              <w:t>(ii)</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January 1, 2020</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(538 )</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(1,702 )</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(2,227 )</w:t>
            </w:r>
          </w:p>
        </w:tc>
        <w:tc>
          <w:tcPr>
            <w:tcW w:w="0" w:type="dxa"/>
            <w:vAlign w:val="bottom"/>
          </w:tcPr>
          <w:p>
            <w:pPr>
              <w:spacing w:after="0"/>
              <w:rPr>
                <w:sz w:val="1"/>
                <w:szCs w:val="1"/>
                <w:color w:val="auto"/>
              </w:rPr>
            </w:pPr>
          </w:p>
        </w:tc>
      </w:tr>
      <w:tr>
        <w:trPr>
          <w:trHeight w:val="238"/>
        </w:trPr>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income/(loss) before reclassifications</w:t>
            </w:r>
          </w:p>
        </w:tc>
        <w:tc>
          <w:tcPr>
            <w:tcW w:w="180" w:type="dxa"/>
            <w:vAlign w:val="bottom"/>
          </w:tcPr>
          <w:p>
            <w:pPr>
              <w:spacing w:after="0"/>
              <w:rPr>
                <w:sz w:val="20"/>
                <w:szCs w:val="20"/>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(12 )</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0" w:type="dxa"/>
            <w:vAlign w:val="bottom"/>
          </w:tcPr>
          <w:p>
            <w:pPr>
              <w:spacing w:after="0"/>
              <w:rPr>
                <w:sz w:val="1"/>
                <w:szCs w:val="1"/>
                <w:color w:val="auto"/>
              </w:rPr>
            </w:pPr>
          </w:p>
        </w:tc>
      </w:tr>
      <w:tr>
        <w:trPr>
          <w:trHeight w:val="215"/>
        </w:trPr>
        <w:tc>
          <w:tcPr>
            <w:tcW w:w="5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reclassified from accumulated other comprehensive</w:t>
            </w:r>
          </w:p>
        </w:tc>
        <w:tc>
          <w:tcPr>
            <w:tcW w:w="180" w:type="dxa"/>
            <w:vAlign w:val="bottom"/>
            <w:shd w:val="clear" w:color="auto" w:fill="CFF0FC"/>
          </w:tcPr>
          <w:p>
            <w:pPr>
              <w:spacing w:after="0"/>
              <w:rPr>
                <w:sz w:val="18"/>
                <w:szCs w:val="18"/>
                <w:color w:val="auto"/>
              </w:rPr>
            </w:pPr>
          </w:p>
        </w:tc>
        <w:tc>
          <w:tcPr>
            <w:tcW w:w="1120" w:type="dxa"/>
            <w:vAlign w:val="bottom"/>
            <w:vMerge w:val="restart"/>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6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vMerge w:val="restart"/>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4"/>
        </w:trPr>
        <w:tc>
          <w:tcPr>
            <w:tcW w:w="56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loss (net of income tax benefit of $11)</w:t>
            </w:r>
          </w:p>
        </w:tc>
        <w:tc>
          <w:tcPr>
            <w:tcW w:w="1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spacing w:after="0"/>
              <w:rPr>
                <w:sz w:val="20"/>
                <w:szCs w:val="20"/>
                <w:color w:val="auto"/>
              </w:rPr>
            </w:pPr>
          </w:p>
        </w:tc>
        <w:tc>
          <w:tcPr>
            <w:tcW w:w="36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other comprehensive income/(loss)</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(266 )</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0" w:type="dxa"/>
            <w:vAlign w:val="bottom"/>
          </w:tcPr>
          <w:p>
            <w:pPr>
              <w:spacing w:after="0"/>
              <w:rPr>
                <w:sz w:val="1"/>
                <w:szCs w:val="1"/>
                <w:color w:val="auto"/>
              </w:rPr>
            </w:pPr>
          </w:p>
        </w:tc>
      </w:tr>
      <w:tr>
        <w:trPr>
          <w:trHeight w:val="276"/>
        </w:trPr>
        <w:tc>
          <w:tcPr>
            <w:tcW w:w="5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December 31, 2020</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(1,968 )</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(2,359 )</w:t>
            </w:r>
          </w:p>
        </w:tc>
        <w:tc>
          <w:tcPr>
            <w:tcW w:w="0" w:type="dxa"/>
            <w:vAlign w:val="bottom"/>
          </w:tcPr>
          <w:p>
            <w:pPr>
              <w:spacing w:after="0"/>
              <w:rPr>
                <w:sz w:val="1"/>
                <w:szCs w:val="1"/>
                <w:color w:val="auto"/>
              </w:rPr>
            </w:pPr>
          </w:p>
        </w:tc>
      </w:tr>
      <w:tr>
        <w:trPr>
          <w:trHeight w:val="223"/>
        </w:trPr>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(loss)/income before reclassifications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95"/>
        </w:trPr>
        <w:tc>
          <w:tcPr>
            <w:tcW w:w="5680" w:type="dxa"/>
            <w:vAlign w:val="bottom"/>
            <w:shd w:val="clear" w:color="auto" w:fill="CFF0FC"/>
          </w:tcPr>
          <w:p>
            <w:pPr>
              <w:ind w:left="120"/>
              <w:spacing w:after="0" w:line="195" w:lineRule="exact"/>
              <w:rPr>
                <w:sz w:val="20"/>
                <w:szCs w:val="20"/>
                <w:color w:val="auto"/>
              </w:rPr>
            </w:pPr>
            <w:r>
              <w:rPr>
                <w:rFonts w:ascii="Times New Roman" w:cs="Times New Roman" w:eastAsia="Times New Roman" w:hAnsi="Times New Roman"/>
                <w:sz w:val="18"/>
                <w:szCs w:val="18"/>
                <w:color w:val="auto"/>
              </w:rPr>
              <w:t>Loss/(gain) reclassified from accumulated other</w:t>
            </w:r>
          </w:p>
        </w:tc>
        <w:tc>
          <w:tcPr>
            <w:tcW w:w="1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5680" w:type="dxa"/>
            <w:vAlign w:val="bottom"/>
            <w:tcBorders>
              <w:bottom w:val="single" w:sz="8" w:color="CFF0FC"/>
            </w:tcBorders>
            <w:shd w:val="clear" w:color="auto" w:fill="CFF0FC"/>
          </w:tcPr>
          <w:p>
            <w:pPr>
              <w:ind w:left="240"/>
              <w:spacing w:after="0" w:line="255" w:lineRule="exact"/>
              <w:rPr>
                <w:sz w:val="20"/>
                <w:szCs w:val="20"/>
                <w:color w:val="auto"/>
              </w:rPr>
            </w:pPr>
            <w:r>
              <w:rPr>
                <w:rFonts w:ascii="Times New Roman" w:cs="Times New Roman" w:eastAsia="Times New Roman" w:hAnsi="Times New Roman"/>
                <w:sz w:val="18"/>
                <w:szCs w:val="18"/>
                <w:color w:val="auto"/>
              </w:rPr>
              <w:t xml:space="preserve">comprehensive loss (net of income tax benefit of $12) </w:t>
            </w:r>
            <w:r>
              <w:rPr>
                <w:rFonts w:ascii="Times New Roman" w:cs="Times New Roman" w:eastAsia="Times New Roman" w:hAnsi="Times New Roman"/>
                <w:sz w:val="24"/>
                <w:szCs w:val="24"/>
                <w:color w:val="auto"/>
                <w:vertAlign w:val="superscript"/>
              </w:rPr>
              <w:t>(iii)</w:t>
            </w:r>
          </w:p>
        </w:tc>
        <w:tc>
          <w:tcPr>
            <w:tcW w:w="18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2"/>
        </w:trPr>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other comprehensive (loss)/income</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260</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76"/>
        </w:trPr>
        <w:tc>
          <w:tcPr>
            <w:tcW w:w="5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(489 )</w:t>
            </w: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(1,708 )</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(2,186 )</w:t>
            </w:r>
          </w:p>
        </w:tc>
        <w:tc>
          <w:tcPr>
            <w:tcW w:w="0" w:type="dxa"/>
            <w:vAlign w:val="bottom"/>
          </w:tcPr>
          <w:p>
            <w:pPr>
              <w:spacing w:after="0"/>
              <w:rPr>
                <w:sz w:val="1"/>
                <w:szCs w:val="1"/>
                <w:color w:val="auto"/>
              </w:rPr>
            </w:pPr>
          </w:p>
        </w:tc>
      </w:tr>
      <w:tr>
        <w:trPr>
          <w:trHeight w:val="223"/>
        </w:trPr>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(loss)/income before reclassifications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(498 )</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(460 )</w:t>
            </w:r>
          </w:p>
        </w:tc>
        <w:tc>
          <w:tcPr>
            <w:tcW w:w="0" w:type="dxa"/>
            <w:vAlign w:val="bottom"/>
          </w:tcPr>
          <w:p>
            <w:pPr>
              <w:spacing w:after="0"/>
              <w:rPr>
                <w:sz w:val="1"/>
                <w:szCs w:val="1"/>
                <w:color w:val="auto"/>
              </w:rPr>
            </w:pPr>
          </w:p>
        </w:tc>
      </w:tr>
      <w:tr>
        <w:trPr>
          <w:trHeight w:val="215"/>
        </w:trPr>
        <w:tc>
          <w:tcPr>
            <w:tcW w:w="5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reclassified from accumulated other</w:t>
            </w:r>
          </w:p>
        </w:tc>
        <w:tc>
          <w:tcPr>
            <w:tcW w:w="180" w:type="dxa"/>
            <w:vAlign w:val="bottom"/>
            <w:shd w:val="clear" w:color="auto" w:fill="CFF0FC"/>
          </w:tcPr>
          <w:p>
            <w:pPr>
              <w:spacing w:after="0"/>
              <w:rPr>
                <w:sz w:val="18"/>
                <w:szCs w:val="18"/>
                <w:color w:val="auto"/>
              </w:rPr>
            </w:pPr>
          </w:p>
        </w:tc>
        <w:tc>
          <w:tcPr>
            <w:tcW w:w="1120" w:type="dxa"/>
            <w:vAlign w:val="bottom"/>
            <w:vMerge w:val="restart"/>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6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vMerge w:val="restart"/>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4"/>
        </w:trPr>
        <w:tc>
          <w:tcPr>
            <w:tcW w:w="56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comprehensive loss (net of income tax benefit of $9)</w:t>
            </w:r>
          </w:p>
        </w:tc>
        <w:tc>
          <w:tcPr>
            <w:tcW w:w="1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spacing w:after="0"/>
              <w:rPr>
                <w:sz w:val="20"/>
                <w:szCs w:val="20"/>
                <w:color w:val="auto"/>
              </w:rPr>
            </w:pPr>
          </w:p>
        </w:tc>
        <w:tc>
          <w:tcPr>
            <w:tcW w:w="36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other comprehensive (loss)/income</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(498 )</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(435 )</w:t>
            </w:r>
          </w:p>
        </w:tc>
        <w:tc>
          <w:tcPr>
            <w:tcW w:w="0" w:type="dxa"/>
            <w:vAlign w:val="bottom"/>
          </w:tcPr>
          <w:p>
            <w:pPr>
              <w:spacing w:after="0"/>
              <w:rPr>
                <w:sz w:val="1"/>
                <w:szCs w:val="1"/>
                <w:color w:val="auto"/>
              </w:rPr>
            </w:pPr>
          </w:p>
        </w:tc>
      </w:tr>
      <w:tr>
        <w:trPr>
          <w:trHeight w:val="276"/>
        </w:trPr>
        <w:tc>
          <w:tcPr>
            <w:tcW w:w="5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(987 )</w:t>
            </w: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(1,643 )</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-1925955</wp:posOffset>
            </wp:positionV>
            <wp:extent cx="93980" cy="17145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-1925955</wp:posOffset>
            </wp:positionV>
            <wp:extent cx="85725" cy="17145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-1925955</wp:posOffset>
            </wp:positionV>
            <wp:extent cx="85725" cy="17145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-1600835</wp:posOffset>
            </wp:positionV>
            <wp:extent cx="1892300" cy="17970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892300" cy="17970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-1137920</wp:posOffset>
            </wp:positionV>
            <wp:extent cx="93980" cy="17145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-1137920</wp:posOffset>
            </wp:positionV>
            <wp:extent cx="85725" cy="17145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-1137920</wp:posOffset>
            </wp:positionV>
            <wp:extent cx="85725" cy="17145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-812800</wp:posOffset>
            </wp:positionV>
            <wp:extent cx="1892300" cy="17970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892300" cy="17970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-350520</wp:posOffset>
            </wp:positionV>
            <wp:extent cx="93980" cy="17145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-350520</wp:posOffset>
            </wp:positionV>
            <wp:extent cx="85725" cy="17145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-350520</wp:posOffset>
            </wp:positionV>
            <wp:extent cx="85725" cy="17145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-24765</wp:posOffset>
            </wp:positionV>
            <wp:extent cx="9398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-7620</wp:posOffset>
            </wp:positionV>
            <wp:extent cx="9398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-24765</wp:posOffset>
            </wp:positionV>
            <wp:extent cx="85725"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-7620</wp:posOffset>
            </wp:positionV>
            <wp:extent cx="8572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-24765</wp:posOffset>
            </wp:positionV>
            <wp:extent cx="8572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-7620</wp:posOffset>
            </wp:positionV>
            <wp:extent cx="8572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95059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27" w:lineRule="exact"/>
        <w:rPr>
          <w:sz w:val="20"/>
          <w:szCs w:val="20"/>
          <w:color w:val="auto"/>
        </w:rPr>
      </w:pPr>
    </w:p>
    <w:p>
      <w:pPr>
        <w:ind w:left="280" w:right="520" w:hanging="272"/>
        <w:spacing w:after="0" w:line="239" w:lineRule="auto"/>
        <w:tabs>
          <w:tab w:leader="none" w:pos="28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adjustments from accumulated other comprehensive loss related to derivative instruments are included in Revenue and Salaries and benefits in the accompanying consolidated statements of comprehensive income. See Note 10 — Derivative Financial Instruments for additional details regarding the reclassification adjustments for the derivative settlements.</w:t>
      </w:r>
    </w:p>
    <w:p>
      <w:pPr>
        <w:spacing w:after="0" w:line="4" w:lineRule="exact"/>
        <w:rPr>
          <w:rFonts w:ascii="Times New Roman" w:cs="Times New Roman" w:eastAsia="Times New Roman" w:hAnsi="Times New Roman"/>
          <w:sz w:val="14"/>
          <w:szCs w:val="14"/>
          <w:color w:val="auto"/>
        </w:rPr>
      </w:pPr>
    </w:p>
    <w:p>
      <w:pPr>
        <w:ind w:left="280" w:right="680" w:hanging="272"/>
        <w:spacing w:after="0" w:line="251" w:lineRule="auto"/>
        <w:tabs>
          <w:tab w:leader="none" w:pos="28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adjustments from accumulated other comprehensive loss are included in the computation of net periodic pension cost (see Note 13 — Retirement Benefits). These components are included in Other income, net in the accompanying consolidated statements of comprehensive income.</w:t>
      </w:r>
    </w:p>
    <w:p>
      <w:pPr>
        <w:ind w:left="280" w:right="40" w:hanging="272"/>
        <w:spacing w:after="0" w:line="239" w:lineRule="auto"/>
        <w:tabs>
          <w:tab w:leader="none" w:pos="28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reclassifications in 2021 of $44 million and $31 million of foreign currency translation and defined pension and post-retirement benefit costs, respectively, attributable to the gain on disposal of our Miller business (see Note 3 — Acquisitions and Divestitures). The net gain on disposal is included in Other income, net in the accompanying consolidated statements of comprehensive income.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t>Note 19 — Share-based Compensation</w:t>
      </w:r>
    </w:p>
    <w:p>
      <w:pPr>
        <w:spacing w:after="0" w:line="175"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Amounts related to discontinued operations in the tables and other disclosures below were not material during the years ended December 31, 2022, 2021 and 2020.</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Summaries</w:t>
      </w:r>
    </w:p>
    <w:p>
      <w:pPr>
        <w:spacing w:after="0" w:line="175"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On December 31, 2022, the Company had a number of open share-based compensation plans, which provide for the granting of time-based and performance-based options, time-based and performance-based restricted stock units, and various other share-based grants to employees. All of the Company’s share-based compensation plans under which any options, restricted stock units (‘RSUs’) or other share-based grants are outstanding as of December 31, 2022 are described below.</w:t>
      </w:r>
    </w:p>
    <w:p>
      <w:pPr>
        <w:spacing w:after="0" w:line="128" w:lineRule="exact"/>
        <w:rPr>
          <w:sz w:val="20"/>
          <w:szCs w:val="20"/>
          <w:color w:val="auto"/>
        </w:rPr>
      </w:pPr>
    </w:p>
    <w:p>
      <w:pPr>
        <w:jc w:val="both"/>
        <w:ind w:right="280"/>
        <w:spacing w:after="0" w:line="265" w:lineRule="auto"/>
        <w:rPr>
          <w:sz w:val="20"/>
          <w:szCs w:val="20"/>
          <w:color w:val="auto"/>
        </w:rPr>
      </w:pPr>
      <w:r>
        <w:rPr>
          <w:rFonts w:ascii="Times New Roman" w:cs="Times New Roman" w:eastAsia="Times New Roman" w:hAnsi="Times New Roman"/>
          <w:sz w:val="18"/>
          <w:szCs w:val="18"/>
          <w:color w:val="auto"/>
        </w:rPr>
        <w:t>During 2022, approximately 429,000 shares were issued under employee stock compensation plans, which is net of shares withheld for taxes and option costs. The total issued shares included approximately 316,000 RSUs that vested in a prior year. See below for further detail on the options exercised and RSUs vested in 2022.</w:t>
      </w:r>
    </w:p>
    <w:p>
      <w:pPr>
        <w:spacing w:after="0" w:line="12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The compensation cost that has been recognized for these plans for the years ended December 31, 2022, 2021 and 2020 was $99 million, $101 million and $90 million, respectively. Of the $99 million compensation cost for the year ended December 31, 2022, $27 million was recognized as transaction and transformation expense. The total income tax benefits recognized in the consolidated statements of comprehensive income for share-based compensation arrangements for the years ended December 31, 2022, 2021, and 2020 were $18 million, $17 million and $15 million, respectively.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2012 Equity Incentive Plan</w:t>
      </w:r>
    </w:p>
    <w:p>
      <w:pPr>
        <w:spacing w:after="0" w:line="1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This plan, established on April 25, 2012 and amended and restated on June 10, 2016, provides for the granting of incentive stock options, time-based or performance-based non-statutory stock options, share appreciation rights, restricted shares, time-based or performance-based RSUs, performance-based awards and other share-based grants or any combination thereof to employees, officers, non-employee directors and consultants of the Company (‘2012 Plan’). The board of directors also adopted a sub-plan under the 2012 Plan to provide an employee sharesave scheme in the U.K.</w:t>
      </w:r>
    </w:p>
    <w:p>
      <w:pPr>
        <w:spacing w:after="0" w:line="12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There were 3,711,668 shares remaining available for grant under this plan as of December 31, 2022. Options are exercisable on a variety of dates, including from the second, third, fourth or fifth anniversary of the grant date. The 2012 Plan shall continue in effect until terminated by the board of directors, except that no incentive stock option may be granted under the 2012 Plan after April 21, 2026 or after its expiration. That termination will not affect the validity of any grants outstanding at that date.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Towers Watson Share Plans</w:t>
      </w:r>
    </w:p>
    <w:p>
      <w:pPr>
        <w:spacing w:after="0" w:line="173"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In January 2016, in connection with the Merger, we assumed the Towers Watson &amp; Co. 2009 Long-Term Incentive Plan (‘2009 LTIP’) and converted the outstanding unvested restricted stock units and options into WTW RSUs and options using a conversion ratio stated in the Merger Agreement.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acquired awards have vested in full, and the Company does not intend to grant future awards under the 2009 LTIP plan.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options granted during the years ended December 31, 2022, 2021 and 2020.</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i w:val="1"/>
          <w:iCs w:val="1"/>
          <w:color w:val="auto"/>
        </w:rPr>
        <w:t>Award Activity</w:t>
      </w:r>
    </w:p>
    <w:p>
      <w:pPr>
        <w:spacing w:after="0" w:line="173"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Classification of options as time-based or performance-based is dependent on the original terms of the award. Performance conditions on the options have been met. A summary of option activity under the plans at December 31, 2022, and changes during the year then ended is presented below:</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vMerge w:val="restart"/>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restart"/>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122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19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0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215"/>
              <w:spacing w:after="0" w:line="146"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8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216"/>
              <w:spacing w:after="0" w:line="146"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9"/>
        </w:trPr>
        <w:tc>
          <w:tcPr>
            <w:tcW w:w="6000" w:type="dxa"/>
            <w:vAlign w:val="bottom"/>
          </w:tcPr>
          <w:p>
            <w:pPr>
              <w:spacing w:after="0"/>
              <w:rPr>
                <w:sz w:val="16"/>
                <w:szCs w:val="16"/>
                <w:color w:val="auto"/>
              </w:rPr>
            </w:pPr>
          </w:p>
        </w:tc>
        <w:tc>
          <w:tcPr>
            <w:tcW w:w="12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15"/>
              <w:spacing w:after="0" w:line="189" w:lineRule="exact"/>
              <w:rPr>
                <w:sz w:val="20"/>
                <w:szCs w:val="20"/>
                <w:color w:val="auto"/>
              </w:rPr>
            </w:pPr>
            <w:r>
              <w:rPr>
                <w:rFonts w:ascii="Times New Roman" w:cs="Times New Roman" w:eastAsia="Times New Roman" w:hAnsi="Times New Roman"/>
                <w:sz w:val="14"/>
                <w:szCs w:val="14"/>
                <w:b w:val="1"/>
                <w:bCs w:val="1"/>
                <w:color w:val="auto"/>
                <w:w w:val="94"/>
              </w:rPr>
              <w:t xml:space="preserve">Price </w:t>
            </w:r>
            <w:r>
              <w:rPr>
                <w:rFonts w:ascii="Times New Roman" w:cs="Times New Roman" w:eastAsia="Times New Roman" w:hAnsi="Times New Roman"/>
                <w:sz w:val="19"/>
                <w:szCs w:val="19"/>
                <w:b w:val="1"/>
                <w:bCs w:val="1"/>
                <w:color w:val="auto"/>
                <w:w w:val="94"/>
                <w:vertAlign w:val="superscript"/>
              </w:rPr>
              <w:t>(i)</w:t>
            </w:r>
          </w:p>
        </w:tc>
        <w:tc>
          <w:tcPr>
            <w:tcW w:w="8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36"/>
        </w:trPr>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Time-based stock options</w:t>
            </w:r>
          </w:p>
        </w:tc>
        <w:tc>
          <w:tcPr>
            <w:tcW w:w="1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117.45</w:t>
            </w: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0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Exercised</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118.90</w:t>
            </w:r>
          </w:p>
        </w:tc>
        <w:tc>
          <w:tcPr>
            <w:tcW w:w="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Cancelled</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117.92</w:t>
            </w: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0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2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116.27</w:t>
            </w:r>
          </w:p>
        </w:tc>
        <w:tc>
          <w:tcPr>
            <w:tcW w:w="8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 years</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6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Options vested or expected to vest at December 31, 2022</w:t>
            </w:r>
          </w:p>
        </w:tc>
        <w:tc>
          <w:tcPr>
            <w:tcW w:w="12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116.27</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years</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Options exercisable at December 31, 2022</w:t>
            </w:r>
          </w:p>
        </w:tc>
        <w:tc>
          <w:tcPr>
            <w:tcW w:w="12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116.27</w:t>
            </w: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 years</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Performance-based stock options</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2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91</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110.58</w:t>
            </w:r>
          </w:p>
        </w:tc>
        <w:tc>
          <w:tcPr>
            <w:tcW w:w="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Exercised</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110.58</w:t>
            </w: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0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2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Options vested or expected to vest at December 31, 2022</w:t>
            </w:r>
          </w:p>
        </w:tc>
        <w:tc>
          <w:tcPr>
            <w:tcW w:w="12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Options exercisable at December 31, 2022</w:t>
            </w:r>
          </w:p>
        </w:tc>
        <w:tc>
          <w:tcPr>
            <w:tcW w:w="12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4585970</wp:posOffset>
            </wp:positionH>
            <wp:positionV relativeFrom="paragraph">
              <wp:posOffset>-1343660</wp:posOffset>
            </wp:positionV>
            <wp:extent cx="51435" cy="20574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51435" cy="205740"/>
                    </a:xfrm>
                    <a:prstGeom prst="rect">
                      <a:avLst/>
                    </a:prstGeom>
                    <a:noFill/>
                  </pic:spPr>
                </pic:pic>
              </a:graphicData>
            </a:graphic>
          </wp:anchor>
        </w:drawing>
        <w:drawing>
          <wp:anchor simplePos="0" relativeHeight="251657728" behindDoc="1" locked="0" layoutInCell="0" allowOverlap="1">
            <wp:simplePos x="0" y="0"/>
            <wp:positionH relativeFrom="column">
              <wp:posOffset>4585970</wp:posOffset>
            </wp:positionH>
            <wp:positionV relativeFrom="paragraph">
              <wp:posOffset>-358775</wp:posOffset>
            </wp:positionV>
            <wp:extent cx="51435" cy="20574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51435"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95059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Certain options are exercisable in Pounds sterling and are converted to dollars using the exchange rate at December 31, 2022.</w:t>
      </w:r>
    </w:p>
    <w:p>
      <w:pPr>
        <w:spacing w:after="0" w:line="154"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The total intrinsic values of time-based options exercised during the years ended December 31, 2022, 2021 and 2020 were $1 million, $7 million and $17 million, respectively. At December 31, 2022, there is no unrecognized compensation cost under time-based plans.</w:t>
      </w:r>
    </w:p>
    <w:p>
      <w:pPr>
        <w:spacing w:after="0" w:line="109"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The total intrinsic value of performance-based options exercised during the year ended December 31, 2022 was $9 million; during the year ended December 31, 2021, total intrinsic value was $23 million, and was less than $1 million for the year ended December 31, 2020. At December 31, 2022, there is no unrecognized compensation cost related to the performance-based stock option plans.</w:t>
      </w:r>
    </w:p>
    <w:p>
      <w:pPr>
        <w:spacing w:after="0" w:line="123"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Cash received from option exercises under all share-based payment arrangements for the years ended December 31, 2022, 2021 and 2020 was $7 million, $10 million and $16 million, respectively. The actual tax benefit recognized for the tax deductions from option exercises of the share-based payment arrangements totaled $11 million, $8 million and $5 million for the years ended December 31, 2022, 2021 and 2020,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Equity-settled RSUs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Assumptions</w:t>
      </w:r>
    </w:p>
    <w:p>
      <w:pPr>
        <w:spacing w:after="0" w:line="17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grant date fair value of each time-based RSU is equal to the grant date stock price. Performance-based RSUs granted during the year ended December 31, 2022, contain only non-market-based performance targets, and the grant date fair value of these awards is equal to the grant date stock price. Because performance-based RSUs granted during the years ended December 31, 2021 and December 31, 2020 contain market-based performance targets, the fair value is estimated on the grant date using a Monte-Carlo simulation that uses the assumptions noted in the following table. Expected volatility is based on the historical volatility of the Company’s shares. The risk-free interest rate is based on the U.S. Treasury yield curve in effect at the time of the grant. The assumptions noted in the table below represent the weighted average of each assumption for each grant during the year.</w:t>
      </w:r>
    </w:p>
    <w:p>
      <w:pPr>
        <w:spacing w:after="0" w:line="85"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8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700" w:type="dxa"/>
            <w:vAlign w:val="bottom"/>
            <w:tcBorders>
              <w:top w:val="single" w:sz="8" w:color="auto"/>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4"/>
                <w:szCs w:val="14"/>
                <w:color w:val="auto"/>
              </w:rPr>
            </w:pPr>
          </w:p>
        </w:tc>
      </w:tr>
      <w:tr>
        <w:trPr>
          <w:trHeight w:val="228"/>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12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29.1 %</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24.2 %</w:t>
            </w:r>
          </w:p>
        </w:tc>
      </w:tr>
      <w:tr>
        <w:trPr>
          <w:trHeight w:val="245"/>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9"/>
        </w:trPr>
        <w:tc>
          <w:tcPr>
            <w:tcW w:w="88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FF0FC"/>
          </w:tcPr>
          <w:p>
            <w:pPr>
              <w:spacing w:after="0"/>
              <w:rPr>
                <w:sz w:val="21"/>
                <w:szCs w:val="21"/>
                <w:color w:val="auto"/>
              </w:rPr>
            </w:pPr>
          </w:p>
        </w:tc>
        <w:tc>
          <w:tcPr>
            <w:tcW w:w="1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21"/>
                <w:szCs w:val="21"/>
                <w:color w:val="auto"/>
              </w:rPr>
            </w:pPr>
          </w:p>
        </w:tc>
      </w:tr>
      <w:tr>
        <w:trPr>
          <w:trHeight w:val="234"/>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0.3 %</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656"/>
        </w:trPr>
        <w:tc>
          <w:tcPr>
            <w:tcW w:w="768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120</w:t>
            </w: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76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-1112520</wp:posOffset>
            </wp:positionV>
            <wp:extent cx="7132320" cy="15430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524" w:right="2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i w:val="1"/>
          <w:iCs w:val="1"/>
          <w:color w:val="auto"/>
        </w:rPr>
        <w:t>Award Activity</w:t>
      </w:r>
    </w:p>
    <w:p>
      <w:pPr>
        <w:spacing w:after="0" w:line="22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A summary of time-based and performance-based RSU activity under the plans at December 31, 2022, and changes during the year then ended, is presented below:</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200" w:type="dxa"/>
            <w:vAlign w:val="bottom"/>
            <w:vMerge w:val="restart"/>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jc w:val="center"/>
              <w:ind w:right="31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jc w:val="center"/>
              <w:ind w:right="315"/>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87"/>
        </w:trPr>
        <w:tc>
          <w:tcPr>
            <w:tcW w:w="7720" w:type="dxa"/>
            <w:vAlign w:val="bottom"/>
          </w:tcPr>
          <w:p>
            <w:pPr>
              <w:spacing w:after="0"/>
              <w:rPr>
                <w:sz w:val="16"/>
                <w:szCs w:val="16"/>
                <w:color w:val="auto"/>
              </w:rPr>
            </w:pPr>
          </w:p>
        </w:tc>
        <w:tc>
          <w:tcPr>
            <w:tcW w:w="1200" w:type="dxa"/>
            <w:vAlign w:val="bottom"/>
            <w:tcBorders>
              <w:bottom w:val="single" w:sz="8" w:color="auto"/>
            </w:tcBorders>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w w:val="99"/>
              </w:rPr>
              <w:t>(thousands)</w:t>
            </w:r>
          </w:p>
        </w:tc>
        <w:tc>
          <w:tcPr>
            <w:tcW w:w="4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Time-based RSUs</w:t>
            </w:r>
          </w:p>
        </w:tc>
        <w:tc>
          <w:tcPr>
            <w:tcW w:w="12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388</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240.77</w:t>
            </w:r>
          </w:p>
        </w:tc>
        <w:tc>
          <w:tcPr>
            <w:tcW w:w="0" w:type="dxa"/>
            <w:vAlign w:val="bottom"/>
          </w:tcPr>
          <w:p>
            <w:pPr>
              <w:spacing w:after="0"/>
              <w:rPr>
                <w:sz w:val="1"/>
                <w:szCs w:val="1"/>
                <w:color w:val="auto"/>
              </w:rPr>
            </w:pPr>
          </w:p>
        </w:tc>
      </w:tr>
      <w:tr>
        <w:trPr>
          <w:trHeight w:val="247"/>
        </w:trPr>
        <w:tc>
          <w:tcPr>
            <w:tcW w:w="89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Granted</w:t>
            </w: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226.84</w:t>
            </w:r>
          </w:p>
        </w:tc>
        <w:tc>
          <w:tcPr>
            <w:tcW w:w="0" w:type="dxa"/>
            <w:vAlign w:val="bottom"/>
          </w:tcPr>
          <w:p>
            <w:pPr>
              <w:spacing w:after="0"/>
              <w:rPr>
                <w:sz w:val="1"/>
                <w:szCs w:val="1"/>
                <w:color w:val="auto"/>
              </w:rPr>
            </w:pPr>
          </w:p>
        </w:tc>
      </w:tr>
      <w:tr>
        <w:trPr>
          <w:trHeight w:val="238"/>
        </w:trPr>
        <w:tc>
          <w:tcPr>
            <w:tcW w:w="8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Vested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242.82</w:t>
            </w:r>
          </w:p>
        </w:tc>
        <w:tc>
          <w:tcPr>
            <w:tcW w:w="0" w:type="dxa"/>
            <w:vAlign w:val="bottom"/>
          </w:tcPr>
          <w:p>
            <w:pPr>
              <w:spacing w:after="0"/>
              <w:rPr>
                <w:sz w:val="1"/>
                <w:szCs w:val="1"/>
                <w:color w:val="auto"/>
              </w:rPr>
            </w:pPr>
          </w:p>
        </w:tc>
      </w:tr>
      <w:tr>
        <w:trPr>
          <w:trHeight w:val="247"/>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46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FF0FC"/>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240.73</w:t>
            </w:r>
          </w:p>
        </w:tc>
        <w:tc>
          <w:tcPr>
            <w:tcW w:w="0" w:type="dxa"/>
            <w:vAlign w:val="bottom"/>
          </w:tcPr>
          <w:p>
            <w:pPr>
              <w:spacing w:after="0"/>
              <w:rPr>
                <w:sz w:val="1"/>
                <w:szCs w:val="1"/>
                <w:color w:val="auto"/>
              </w:rPr>
            </w:pPr>
          </w:p>
        </w:tc>
      </w:tr>
      <w:tr>
        <w:trPr>
          <w:trHeight w:val="23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2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412</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237.23</w:t>
            </w:r>
          </w:p>
        </w:tc>
        <w:tc>
          <w:tcPr>
            <w:tcW w:w="0" w:type="dxa"/>
            <w:vAlign w:val="bottom"/>
          </w:tcPr>
          <w:p>
            <w:pPr>
              <w:spacing w:after="0"/>
              <w:rPr>
                <w:sz w:val="1"/>
                <w:szCs w:val="1"/>
                <w:color w:val="auto"/>
              </w:rPr>
            </w:pPr>
          </w:p>
        </w:tc>
      </w:tr>
      <w:tr>
        <w:trPr>
          <w:trHeight w:val="20"/>
        </w:trPr>
        <w:tc>
          <w:tcPr>
            <w:tcW w:w="89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Performance-based RSUs</w:t>
            </w:r>
          </w:p>
        </w:tc>
        <w:tc>
          <w:tcPr>
            <w:tcW w:w="120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468</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280.46</w:t>
            </w:r>
          </w:p>
        </w:tc>
        <w:tc>
          <w:tcPr>
            <w:tcW w:w="0" w:type="dxa"/>
            <w:vAlign w:val="bottom"/>
          </w:tcPr>
          <w:p>
            <w:pPr>
              <w:spacing w:after="0"/>
              <w:rPr>
                <w:sz w:val="1"/>
                <w:szCs w:val="1"/>
                <w:color w:val="auto"/>
              </w:rPr>
            </w:pPr>
          </w:p>
        </w:tc>
      </w:tr>
      <w:tr>
        <w:trPr>
          <w:trHeight w:val="247"/>
        </w:trPr>
        <w:tc>
          <w:tcPr>
            <w:tcW w:w="89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Granted</w:t>
            </w: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186</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237.57</w:t>
            </w:r>
          </w:p>
        </w:tc>
        <w:tc>
          <w:tcPr>
            <w:tcW w:w="0" w:type="dxa"/>
            <w:vAlign w:val="bottom"/>
          </w:tcPr>
          <w:p>
            <w:pPr>
              <w:spacing w:after="0"/>
              <w:rPr>
                <w:sz w:val="1"/>
                <w:szCs w:val="1"/>
                <w:color w:val="auto"/>
              </w:rPr>
            </w:pPr>
          </w:p>
        </w:tc>
      </w:tr>
      <w:tr>
        <w:trPr>
          <w:trHeight w:val="238"/>
        </w:trPr>
        <w:tc>
          <w:tcPr>
            <w:tcW w:w="8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Vested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302.69</w:t>
            </w:r>
          </w:p>
        </w:tc>
        <w:tc>
          <w:tcPr>
            <w:tcW w:w="0" w:type="dxa"/>
            <w:vAlign w:val="bottom"/>
          </w:tcPr>
          <w:p>
            <w:pPr>
              <w:spacing w:after="0"/>
              <w:rPr>
                <w:sz w:val="1"/>
                <w:szCs w:val="1"/>
                <w:color w:val="auto"/>
              </w:rPr>
            </w:pPr>
          </w:p>
        </w:tc>
      </w:tr>
      <w:tr>
        <w:trPr>
          <w:trHeight w:val="247"/>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46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FF0FC"/>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267.79</w:t>
            </w:r>
          </w:p>
        </w:tc>
        <w:tc>
          <w:tcPr>
            <w:tcW w:w="0" w:type="dxa"/>
            <w:vAlign w:val="bottom"/>
          </w:tcPr>
          <w:p>
            <w:pPr>
              <w:spacing w:after="0"/>
              <w:rPr>
                <w:sz w:val="1"/>
                <w:szCs w:val="1"/>
                <w:color w:val="auto"/>
              </w:rPr>
            </w:pPr>
          </w:p>
        </w:tc>
      </w:tr>
      <w:tr>
        <w:trPr>
          <w:trHeight w:val="236"/>
        </w:trPr>
        <w:tc>
          <w:tcPr>
            <w:tcW w:w="8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588</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266.39</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5947410</wp:posOffset>
            </wp:positionH>
            <wp:positionV relativeFrom="paragraph">
              <wp:posOffset>-1146810</wp:posOffset>
            </wp:positionV>
            <wp:extent cx="111125" cy="18859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11125" cy="18859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-187960</wp:posOffset>
            </wp:positionV>
            <wp:extent cx="111125" cy="18859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11125" cy="188595"/>
                    </a:xfrm>
                    <a:prstGeom prst="rect">
                      <a:avLst/>
                    </a:prstGeom>
                    <a:noFill/>
                  </pic:spPr>
                </pic:pic>
              </a:graphicData>
            </a:graphic>
          </wp:anchor>
        </w:drawing>
      </w:r>
    </w:p>
    <w:p>
      <w:pPr>
        <w:spacing w:after="0" w:line="164"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8"/>
          <w:szCs w:val="18"/>
          <w:color w:val="auto"/>
        </w:rPr>
        <w:t>Time-based RSUs approximating 35,000, 15,000 and 13,000 vested during the years ended December 31, 2022, 2021 and 2020, respectively, with average share prices of $202.80, $250.83 and $195.69, respectively. At December 31, 2022 there was $60 million of total unrecognized compensation cost related to the time-based RSU plan; that cost is expected to be recognized over a weighted-average period of 1.8 years.</w:t>
      </w:r>
    </w:p>
    <w:p>
      <w:pPr>
        <w:spacing w:after="0" w:line="117" w:lineRule="exact"/>
        <w:rPr>
          <w:sz w:val="20"/>
          <w:szCs w:val="20"/>
          <w:color w:val="auto"/>
        </w:rPr>
      </w:pPr>
    </w:p>
    <w:p>
      <w:pPr>
        <w:ind w:right="80"/>
        <w:spacing w:after="0" w:line="274" w:lineRule="auto"/>
        <w:rPr>
          <w:sz w:val="20"/>
          <w:szCs w:val="20"/>
          <w:color w:val="auto"/>
        </w:rPr>
      </w:pPr>
      <w:r>
        <w:rPr>
          <w:rFonts w:ascii="Calibri" w:cs="Calibri" w:eastAsia="Calibri" w:hAnsi="Calibri"/>
          <w:sz w:val="20"/>
          <w:szCs w:val="20"/>
          <w:color w:val="auto"/>
        </w:rPr>
        <w:t>P</w:t>
      </w:r>
      <w:r>
        <w:rPr>
          <w:rFonts w:ascii="Times New Roman" w:cs="Times New Roman" w:eastAsia="Times New Roman" w:hAnsi="Times New Roman"/>
          <w:sz w:val="17"/>
          <w:szCs w:val="17"/>
          <w:color w:val="auto"/>
        </w:rPr>
        <w:t>erformance-based RSUs approximating 32,000, 133,000 and 416,000 vested during the years ended December 31, 2022, 2021 and 2020, respectively,</w:t>
      </w:r>
      <w:r>
        <w:rPr>
          <w:rFonts w:ascii="Calibri" w:cs="Calibri" w:eastAsia="Calibri" w:hAnsi="Calibri"/>
          <w:sz w:val="20"/>
          <w:szCs w:val="20"/>
          <w:color w:val="auto"/>
        </w:rPr>
        <w:t xml:space="preserve"> </w:t>
      </w:r>
      <w:r>
        <w:rPr>
          <w:rFonts w:ascii="Times New Roman" w:cs="Times New Roman" w:eastAsia="Times New Roman" w:hAnsi="Times New Roman"/>
          <w:sz w:val="17"/>
          <w:szCs w:val="17"/>
          <w:color w:val="auto"/>
        </w:rPr>
        <w:t>with average share prices of $197.55, $224.79 and $185.30, respectively. At December 31, 2022 there was $49 million of total unrecognized compensation cost related to the performance-based RSU plan; that cost is expected to be recognized over a weighted-average period of 1.7 years.</w:t>
      </w:r>
    </w:p>
    <w:p>
      <w:pPr>
        <w:spacing w:after="0" w:line="117" w:lineRule="exact"/>
        <w:rPr>
          <w:sz w:val="20"/>
          <w:szCs w:val="20"/>
          <w:color w:val="auto"/>
        </w:rPr>
      </w:pPr>
    </w:p>
    <w:p>
      <w:pPr>
        <w:ind w:right="640"/>
        <w:spacing w:after="0" w:line="281" w:lineRule="auto"/>
        <w:rPr>
          <w:sz w:val="20"/>
          <w:szCs w:val="20"/>
          <w:color w:val="auto"/>
        </w:rPr>
      </w:pPr>
      <w:r>
        <w:rPr>
          <w:rFonts w:ascii="Times New Roman" w:cs="Times New Roman" w:eastAsia="Times New Roman" w:hAnsi="Times New Roman"/>
          <w:sz w:val="18"/>
          <w:szCs w:val="18"/>
          <w:color w:val="auto"/>
        </w:rPr>
        <w:t>The actual tax benefits recognized for the tax deductions from RSUs that vested totaled $23 million, $12 million and $7 million for the years ended December 31, 2022, 2021 and 2020, respectively.</w:t>
      </w:r>
    </w:p>
    <w:p>
      <w:pPr>
        <w:spacing w:after="0" w:line="109" w:lineRule="exact"/>
        <w:rPr>
          <w:sz w:val="20"/>
          <w:szCs w:val="20"/>
          <w:color w:val="auto"/>
        </w:rPr>
      </w:pPr>
    </w:p>
    <w:p>
      <w:pPr>
        <w:ind w:right="800"/>
        <w:spacing w:after="0" w:line="281" w:lineRule="auto"/>
        <w:rPr>
          <w:sz w:val="20"/>
          <w:szCs w:val="20"/>
          <w:color w:val="auto"/>
        </w:rPr>
      </w:pPr>
      <w:r>
        <w:rPr>
          <w:rFonts w:ascii="Times New Roman" w:cs="Times New Roman" w:eastAsia="Times New Roman" w:hAnsi="Times New Roman"/>
          <w:sz w:val="18"/>
          <w:szCs w:val="18"/>
          <w:color w:val="auto"/>
        </w:rPr>
        <w:t>The amounts reflected above include awards which will be cash-settled due to local requirements. These awards are classified as liabilities in our consolidated balance sheets and are not material.</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Phantom RSUs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years ended December 31, 2022 and 2021 cash payments totaling $32 million and $52 million, respectively, were made related to phantom stock units. There were no cash payments related to phantom stock during the year ended December 31, 2020. Phantom stock units are cash-settled awards with final payout based on the performance of the Company’s stock. Since the awards are cash-settled, they are considered a liability. Expense is recognized over the service period. The liability is remeasured at the end of each reporting period, and changes in fair value are recognized as compensation cost. There is no remaining liability or unearned compensation related to phantom stock as of December 31, 2022. The Company did not grant phantom stock during 2022, 2021 and 2020.</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Earnings Per Share</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Basic and diluted earnings per share from continuing operations attributable to WTW and discontinued operations, net of tax are calculated by dividing net income from continuing operations attributable to WTW and discontinued operations, net of tax, respectively, by the average number of ordinary shares outstanding during each period. The computation of diluted earnings per share reflects the potential dilution that could occur if dilutive securities and other contracts to issue shares were exercised or converted into shares or resulted in the issuance of shares that then shared in the net income of the Company. See Note 19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Share-based Compensation for a summary of our outstanding options and RSUs.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color w:val="auto"/>
        </w:rPr>
        <w:t>Basic and diluted earnings per share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860" w:type="dxa"/>
            <w:vAlign w:val="bottom"/>
            <w:shd w:val="clear" w:color="auto" w:fill="CFF0FC"/>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1,064</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2,156</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762</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income attributable to non-controlling interests</w:t>
            </w:r>
          </w:p>
        </w:tc>
        <w:tc>
          <w:tcPr>
            <w:tcW w:w="8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76"/>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attributable to WTW</w:t>
            </w:r>
          </w:p>
        </w:tc>
        <w:tc>
          <w:tcPr>
            <w:tcW w:w="860" w:type="dxa"/>
            <w:vAlign w:val="bottom"/>
            <w:tcBorders>
              <w:bottom w:val="single" w:sz="8" w:color="auto"/>
            </w:tcBorders>
            <w:shd w:val="clear" w:color="auto" w:fill="CFF0FC"/>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1,049</w:t>
            </w:r>
          </w:p>
        </w:tc>
        <w:tc>
          <w:tcPr>
            <w:tcW w:w="40" w:type="dxa"/>
            <w:vAlign w:val="bottom"/>
            <w:tcBorders>
              <w:bottom w:val="single" w:sz="8" w:color="auto"/>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2,142</w:t>
            </w:r>
          </w:p>
        </w:tc>
        <w:tc>
          <w:tcPr>
            <w:tcW w:w="1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738</w:t>
            </w:r>
          </w:p>
        </w:tc>
      </w:tr>
      <w:tr>
        <w:trPr>
          <w:trHeight w:val="227"/>
        </w:trPr>
        <w:tc>
          <w:tcPr>
            <w:tcW w:w="6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gridSpan w:val="3"/>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8"/>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(Loss)/income from discontinued operations, net of tax</w:t>
            </w:r>
          </w:p>
        </w:tc>
        <w:tc>
          <w:tcPr>
            <w:tcW w:w="860" w:type="dxa"/>
            <w:vAlign w:val="bottom"/>
            <w:shd w:val="clear" w:color="auto" w:fill="CFF0FC"/>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500" w:type="dxa"/>
            <w:vAlign w:val="bottom"/>
            <w:gridSpan w:val="3"/>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2,080</w:t>
            </w:r>
          </w:p>
        </w:tc>
        <w:tc>
          <w:tcPr>
            <w:tcW w:w="180" w:type="dxa"/>
            <w:vAlign w:val="bottom"/>
            <w:shd w:val="clear" w:color="auto" w:fill="CFF0FC"/>
          </w:tcPr>
          <w:p>
            <w:pPr>
              <w:spacing w:after="0"/>
              <w:rPr>
                <w:sz w:val="24"/>
                <w:szCs w:val="24"/>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258</w:t>
            </w:r>
          </w:p>
        </w:tc>
      </w:tr>
      <w:tr>
        <w:trPr>
          <w:trHeight w:val="227"/>
        </w:trPr>
        <w:tc>
          <w:tcPr>
            <w:tcW w:w="6620" w:type="dxa"/>
            <w:vAlign w:val="bottom"/>
            <w:tcBorders>
              <w:top w:val="single" w:sz="8" w:color="CFF0FC"/>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weighted-average number of shares outstanding</w:t>
            </w:r>
          </w:p>
        </w:tc>
        <w:tc>
          <w:tcPr>
            <w:tcW w:w="86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130</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potentially issuable shares</w:t>
            </w:r>
          </w:p>
        </w:tc>
        <w:tc>
          <w:tcPr>
            <w:tcW w:w="8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weighted-average number of shares outstanding</w:t>
            </w:r>
          </w:p>
        </w:tc>
        <w:tc>
          <w:tcPr>
            <w:tcW w:w="860" w:type="dxa"/>
            <w:vAlign w:val="bottom"/>
            <w:tcBorders>
              <w:bottom w:val="single" w:sz="8" w:color="auto"/>
            </w:tcBorders>
            <w:shd w:val="clear" w:color="auto" w:fill="CFF0FC"/>
          </w:tcPr>
          <w:p>
            <w:pPr>
              <w:spacing w:after="0"/>
              <w:rPr>
                <w:sz w:val="24"/>
                <w:szCs w:val="24"/>
                <w:color w:val="auto"/>
              </w:rPr>
            </w:pPr>
          </w:p>
        </w:tc>
        <w:tc>
          <w:tcPr>
            <w:tcW w:w="5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40" w:type="dxa"/>
            <w:vAlign w:val="bottom"/>
            <w:tcBorders>
              <w:bottom w:val="single" w:sz="8" w:color="auto"/>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spacing w:after="0"/>
              <w:rPr>
                <w:sz w:val="24"/>
                <w:szCs w:val="24"/>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130</w:t>
            </w:r>
          </w:p>
        </w:tc>
      </w:tr>
      <w:tr>
        <w:trPr>
          <w:trHeight w:val="227"/>
        </w:trPr>
        <w:tc>
          <w:tcPr>
            <w:tcW w:w="6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gridSpan w:val="3"/>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earnings per share from continuing operations attributable to WTW</w:t>
            </w:r>
          </w:p>
        </w:tc>
        <w:tc>
          <w:tcPr>
            <w:tcW w:w="860" w:type="dxa"/>
            <w:vAlign w:val="bottom"/>
            <w:shd w:val="clear" w:color="auto" w:fill="CFF0FC"/>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9.36</w:t>
            </w:r>
          </w:p>
        </w:tc>
        <w:tc>
          <w:tcPr>
            <w:tcW w:w="500" w:type="dxa"/>
            <w:vAlign w:val="bottom"/>
            <w:gridSpan w:val="3"/>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16.68</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5.69</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potentially issuable shares</w:t>
            </w:r>
          </w:p>
        </w:tc>
        <w:tc>
          <w:tcPr>
            <w:tcW w:w="8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(0.02 )</w:t>
            </w:r>
          </w:p>
        </w:tc>
        <w:tc>
          <w:tcPr>
            <w:tcW w:w="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(0.05 )</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(0.02 )</w:t>
            </w:r>
          </w:p>
        </w:tc>
      </w:tr>
      <w:tr>
        <w:trPr>
          <w:trHeight w:val="276"/>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earnings per share from continuing operations attributable to WTW</w:t>
            </w:r>
          </w:p>
        </w:tc>
        <w:tc>
          <w:tcPr>
            <w:tcW w:w="860" w:type="dxa"/>
            <w:vAlign w:val="bottom"/>
            <w:tcBorders>
              <w:bottom w:val="single" w:sz="8" w:color="auto"/>
            </w:tcBorders>
            <w:shd w:val="clear" w:color="auto" w:fill="CFF0FC"/>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9.34</w:t>
            </w:r>
          </w:p>
        </w:tc>
        <w:tc>
          <w:tcPr>
            <w:tcW w:w="40" w:type="dxa"/>
            <w:vAlign w:val="bottom"/>
            <w:tcBorders>
              <w:bottom w:val="single" w:sz="8" w:color="auto"/>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16.63</w:t>
            </w:r>
          </w:p>
        </w:tc>
        <w:tc>
          <w:tcPr>
            <w:tcW w:w="1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5.67</w:t>
            </w:r>
          </w:p>
        </w:tc>
      </w:tr>
      <w:tr>
        <w:trPr>
          <w:trHeight w:val="227"/>
        </w:trPr>
        <w:tc>
          <w:tcPr>
            <w:tcW w:w="6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gridSpan w:val="3"/>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(loss)/earnings per share from discontinued operations, net of tax</w:t>
            </w:r>
          </w:p>
        </w:tc>
        <w:tc>
          <w:tcPr>
            <w:tcW w:w="860" w:type="dxa"/>
            <w:vAlign w:val="bottom"/>
            <w:shd w:val="clear" w:color="auto" w:fill="CFF0FC"/>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(0.36 )</w:t>
            </w:r>
          </w:p>
        </w:tc>
        <w:tc>
          <w:tcPr>
            <w:tcW w:w="500" w:type="dxa"/>
            <w:vAlign w:val="bottom"/>
            <w:gridSpan w:val="3"/>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16.20</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1.99</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potentially issuable shares</w:t>
            </w:r>
          </w:p>
        </w:tc>
        <w:tc>
          <w:tcPr>
            <w:tcW w:w="8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(0.05 )</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(0.01 )</w:t>
            </w:r>
          </w:p>
        </w:tc>
      </w:tr>
      <w:tr>
        <w:trPr>
          <w:trHeight w:val="276"/>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(loss)/earnings per share from discontinued operations, net of tax</w:t>
            </w:r>
          </w:p>
        </w:tc>
        <w:tc>
          <w:tcPr>
            <w:tcW w:w="860" w:type="dxa"/>
            <w:vAlign w:val="bottom"/>
            <w:tcBorders>
              <w:bottom w:val="single" w:sz="8" w:color="auto"/>
            </w:tcBorders>
            <w:shd w:val="clear" w:color="auto" w:fill="CFF0FC"/>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(0.36 )</w:t>
            </w:r>
          </w:p>
        </w:tc>
        <w:tc>
          <w:tcPr>
            <w:tcW w:w="40" w:type="dxa"/>
            <w:vAlign w:val="bottom"/>
            <w:tcBorders>
              <w:bottom w:val="single" w:sz="8" w:color="auto"/>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16.15</w:t>
            </w:r>
          </w:p>
        </w:tc>
        <w:tc>
          <w:tcPr>
            <w:tcW w:w="1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-2311400</wp:posOffset>
            </wp:positionV>
            <wp:extent cx="1104265" cy="17970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104265" cy="17970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-1977390</wp:posOffset>
            </wp:positionV>
            <wp:extent cx="1104265" cy="17970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104265" cy="17970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-1326515</wp:posOffset>
            </wp:positionV>
            <wp:extent cx="1104265" cy="17970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104265" cy="17970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-675640</wp:posOffset>
            </wp:positionV>
            <wp:extent cx="1104265" cy="17970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104265" cy="17970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-24765</wp:posOffset>
            </wp:positionV>
            <wp:extent cx="10287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-7620</wp:posOffset>
            </wp:positionV>
            <wp:extent cx="10287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-24765</wp:posOffset>
            </wp:positionV>
            <wp:extent cx="10287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-7620</wp:posOffset>
            </wp:positionV>
            <wp:extent cx="10287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23" w:lineRule="exact"/>
        <w:rPr>
          <w:sz w:val="20"/>
          <w:szCs w:val="20"/>
          <w:color w:val="auto"/>
        </w:rPr>
      </w:pPr>
    </w:p>
    <w:p>
      <w:pPr>
        <w:jc w:val="both"/>
        <w:ind w:right="240"/>
        <w:spacing w:after="0" w:line="265" w:lineRule="auto"/>
        <w:rPr>
          <w:sz w:val="20"/>
          <w:szCs w:val="20"/>
          <w:color w:val="auto"/>
        </w:rPr>
      </w:pPr>
      <w:r>
        <w:rPr>
          <w:rFonts w:ascii="Times New Roman" w:cs="Times New Roman" w:eastAsia="Times New Roman" w:hAnsi="Times New Roman"/>
          <w:sz w:val="18"/>
          <w:szCs w:val="18"/>
          <w:color w:val="auto"/>
        </w:rPr>
        <w:t>There were no anti-dilutive options for the years ended December 31, 2022, 2021 and 2020. For the years ended December 31, 2022, 2021 and 2020, 0.2 million, 0.3 million and 0.1 million RSUs, respectively, were not included in the computation of the dilutive effect of potentially issuable shares because their effect was anti-dilutive.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Supplemental Disclosures of Cash Flow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disclosures regarding cash flow information and non-cash investing and financing activities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7"/>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As of and for the Years Ended December 31,</w:t>
            </w:r>
          </w:p>
        </w:tc>
      </w:tr>
      <w:tr>
        <w:trPr>
          <w:trHeight w:val="169"/>
        </w:trPr>
        <w:tc>
          <w:tcPr>
            <w:tcW w:w="7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6"/>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r>
      <w:tr>
        <w:trPr>
          <w:trHeight w:val="238"/>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1,262</w:t>
            </w:r>
          </w:p>
        </w:tc>
        <w:tc>
          <w:tcPr>
            <w:tcW w:w="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4,486</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2,039</w:t>
            </w:r>
          </w:p>
        </w:tc>
      </w:tr>
      <w:tr>
        <w:trPr>
          <w:trHeight w:val="247"/>
        </w:trPr>
        <w:tc>
          <w:tcPr>
            <w:tcW w:w="7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Fiduciary funds (included in fiduciary assets)</w:t>
            </w: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3,459</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3,203</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4,205</w:t>
            </w:r>
          </w:p>
        </w:tc>
      </w:tr>
      <w:tr>
        <w:trPr>
          <w:trHeight w:val="211"/>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 and fiduciary funds (included in current assets held</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8"/>
        </w:trPr>
        <w:tc>
          <w:tcPr>
            <w:tcW w:w="7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 sale)</w:t>
            </w:r>
          </w:p>
        </w:tc>
        <w:tc>
          <w:tcPr>
            <w:tcW w:w="260" w:type="dxa"/>
            <w:vAlign w:val="bottom"/>
          </w:tcPr>
          <w:p>
            <w:pPr>
              <w:spacing w:after="0"/>
              <w:rPr>
                <w:sz w:val="21"/>
                <w:szCs w:val="21"/>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w:t>
            </w:r>
          </w:p>
        </w:tc>
      </w:tr>
      <w:tr>
        <w:trPr>
          <w:trHeight w:val="243"/>
        </w:trPr>
        <w:tc>
          <w:tcPr>
            <w:tcW w:w="7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restricted cash (included in prepaids and other current assets)</w:t>
            </w: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r>
      <w:tr>
        <w:trPr>
          <w:trHeight w:val="232"/>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4,721</w:t>
            </w:r>
          </w:p>
        </w:tc>
        <w:tc>
          <w:tcPr>
            <w:tcW w:w="18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7,691</w:t>
            </w:r>
          </w:p>
        </w:tc>
        <w:tc>
          <w:tcPr>
            <w:tcW w:w="16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6,301</w:t>
            </w:r>
          </w:p>
        </w:tc>
      </w:tr>
      <w:tr>
        <w:trPr>
          <w:trHeight w:val="20"/>
        </w:trPr>
        <w:tc>
          <w:tcPr>
            <w:tcW w:w="7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7"/>
        </w:trPr>
        <w:tc>
          <w:tcPr>
            <w:tcW w:w="7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38"/>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(Decrease)/increase in cash, cash equivalents and other restricted cash</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(3,177 )</w:t>
            </w:r>
          </w:p>
        </w:tc>
        <w:tc>
          <w:tcPr>
            <w:tcW w:w="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2,425</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1,180</w:t>
            </w:r>
          </w:p>
        </w:tc>
      </w:tr>
      <w:tr>
        <w:trPr>
          <w:trHeight w:val="243"/>
        </w:trPr>
        <w:tc>
          <w:tcPr>
            <w:tcW w:w="7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Increase/(decrease) in fiduciary funds</w:t>
            </w: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371</w:t>
            </w:r>
          </w:p>
        </w:tc>
        <w:tc>
          <w:tcPr>
            <w:tcW w:w="1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(908 )</w:t>
            </w:r>
          </w:p>
        </w:tc>
        <w:tc>
          <w:tcPr>
            <w:tcW w:w="1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812</w:t>
            </w:r>
          </w:p>
        </w:tc>
      </w:tr>
      <w:tr>
        <w:trPr>
          <w:trHeight w:val="236"/>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(2,806 )</w:t>
            </w:r>
          </w:p>
        </w:tc>
        <w:tc>
          <w:tcPr>
            <w:tcW w:w="18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1,517</w:t>
            </w:r>
          </w:p>
        </w:tc>
        <w:tc>
          <w:tcPr>
            <w:tcW w:w="16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1,992</w:t>
            </w:r>
          </w:p>
        </w:tc>
      </w:tr>
      <w:tr>
        <w:trPr>
          <w:trHeight w:val="20"/>
        </w:trPr>
        <w:tc>
          <w:tcPr>
            <w:tcW w:w="7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7"/>
        </w:trPr>
        <w:tc>
          <w:tcPr>
            <w:tcW w:w="7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38"/>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payments for income taxes, net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428</w:t>
            </w:r>
          </w:p>
        </w:tc>
        <w:tc>
          <w:tcPr>
            <w:tcW w:w="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570</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310</w:t>
            </w:r>
          </w:p>
        </w:tc>
      </w:tr>
      <w:tr>
        <w:trPr>
          <w:trHeight w:val="247"/>
        </w:trPr>
        <w:tc>
          <w:tcPr>
            <w:tcW w:w="7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payments for interest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201</w:t>
            </w:r>
          </w:p>
        </w:tc>
        <w:tc>
          <w:tcPr>
            <w:tcW w:w="4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212</w:t>
            </w:r>
          </w:p>
        </w:tc>
        <w:tc>
          <w:tcPr>
            <w:tcW w:w="4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229</w:t>
            </w:r>
          </w:p>
        </w:tc>
      </w:tr>
      <w:tr>
        <w:trPr>
          <w:trHeight w:val="238"/>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acquired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30</w:t>
            </w:r>
          </w:p>
        </w:tc>
        <w:tc>
          <w:tcPr>
            <w:tcW w:w="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r>
      <w:tr>
        <w:trPr>
          <w:trHeight w:val="247"/>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disclosures of non-cash investing and financing activities:</w:t>
            </w: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r>
      <w:tr>
        <w:trPr>
          <w:trHeight w:val="238"/>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consideration received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63</w:t>
            </w:r>
          </w:p>
        </w:tc>
        <w:tc>
          <w:tcPr>
            <w:tcW w:w="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Fair value of deferred and contingent consideration related to acquisitions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28</w:t>
            </w:r>
          </w:p>
        </w:tc>
        <w:tc>
          <w:tcPr>
            <w:tcW w:w="4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4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r>
      <w:tr>
        <w:trPr>
          <w:trHeight w:val="809"/>
        </w:trPr>
        <w:tc>
          <w:tcPr>
            <w:tcW w:w="716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122</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5"/>
        </w:trPr>
        <w:tc>
          <w:tcPr>
            <w:tcW w:w="71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-2516505</wp:posOffset>
            </wp:positionV>
            <wp:extent cx="111125" cy="18859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11125" cy="18859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-2516505</wp:posOffset>
            </wp:positionV>
            <wp:extent cx="102870" cy="18859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-1866265</wp:posOffset>
            </wp:positionV>
            <wp:extent cx="111125" cy="18859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11125" cy="18859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-1866265</wp:posOffset>
            </wp:positionV>
            <wp:extent cx="102870" cy="18859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auto"/>
        </w:rPr>
        <w:t>Note 22 — Quarterly Financial Data (Unaudited)</w:t>
      </w:r>
    </w:p>
    <w:p>
      <w:pPr>
        <w:spacing w:after="0" w:line="229"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WTW presents the following quarterly financial data for 2021. No changes to the data provided below have been made during the current year, and no changes have been made to 2022 quarterly data previously filed within our Quarterly Reports on Form 10-Q for the quarters ended September 30, June 30, and March 31, 2022.</w:t>
      </w:r>
    </w:p>
    <w:p>
      <w:pPr>
        <w:spacing w:after="0" w:line="184"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6"/>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r>
      <w:tr>
        <w:trPr>
          <w:trHeight w:val="238"/>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Revenue</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2,228</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2,091</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1,973</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2,706</w:t>
            </w:r>
          </w:p>
        </w:tc>
      </w:tr>
      <w:tr>
        <w:trPr>
          <w:trHeight w:val="247"/>
        </w:trPr>
        <w:tc>
          <w:tcPr>
            <w:tcW w:w="4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costs of providing services</w:t>
            </w:r>
          </w:p>
        </w:tc>
        <w:tc>
          <w:tcPr>
            <w:tcW w:w="9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1,921</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842</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2,016</w:t>
            </w:r>
          </w:p>
        </w:tc>
      </w:tr>
      <w:tr>
        <w:trPr>
          <w:trHeight w:val="238"/>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from operations</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211</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1,131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690</w:t>
            </w:r>
          </w:p>
        </w:tc>
      </w:tr>
      <w:tr>
        <w:trPr>
          <w:trHeight w:val="247"/>
        </w:trPr>
        <w:tc>
          <w:tcPr>
            <w:tcW w:w="4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9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546</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919</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574</w:t>
            </w:r>
          </w:p>
        </w:tc>
      </w:tr>
      <w:tr>
        <w:trPr>
          <w:trHeight w:val="238"/>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Income/(loss) from discontinued operations, net of tax</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1,833</w:t>
            </w:r>
          </w:p>
        </w:tc>
      </w:tr>
      <w:tr>
        <w:trPr>
          <w:trHeight w:val="247"/>
        </w:trPr>
        <w:tc>
          <w:tcPr>
            <w:tcW w:w="4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736</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907</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2,407</w:t>
            </w:r>
          </w:p>
        </w:tc>
      </w:tr>
      <w:tr>
        <w:trPr>
          <w:trHeight w:val="238"/>
        </w:trPr>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attributable to WTW</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733</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903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2,402</w:t>
            </w:r>
          </w:p>
        </w:tc>
      </w:tr>
      <w:tr>
        <w:trPr>
          <w:trHeight w:val="247"/>
        </w:trPr>
        <w:tc>
          <w:tcPr>
            <w:tcW w:w="4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Earnings per share</w:t>
            </w:r>
          </w:p>
        </w:tc>
        <w:tc>
          <w:tcPr>
            <w:tcW w:w="9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r>
      <w:tr>
        <w:trPr>
          <w:trHeight w:val="238"/>
        </w:trPr>
        <w:tc>
          <w:tcPr>
            <w:tcW w:w="4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Basic: income from continuing operations</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4.18</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0.89</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4.56</w:t>
            </w:r>
          </w:p>
        </w:tc>
      </w:tr>
      <w:tr>
        <w:trPr>
          <w:trHeight w:val="247"/>
        </w:trPr>
        <w:tc>
          <w:tcPr>
            <w:tcW w:w="48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 Diluted: income from continuing operations</w:t>
            </w: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4.17</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0.88</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7.08</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4.54</w:t>
            </w:r>
          </w:p>
        </w:tc>
      </w:tr>
      <w:tr>
        <w:trPr>
          <w:trHeight w:val="647"/>
        </w:trPr>
        <w:tc>
          <w:tcPr>
            <w:tcW w:w="480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123</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48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our chief executive officer (‘CEO’) and chief financial officer (‘CFO’), of the effectiveness of the design and operation of our disclosure controls and procedures, as defined in Rules 13a-15(e) and 15d-15(e) under the Securities Exchange Act of 1934, as amended (the ‘Exchange Act’), as of the end of the period covered by this annual report. Based upon that evaluation, our management, including the CEO and CFO, concluded that our disclosure controls and procedures were effective as of December 31, 2022 in providing reasonable assurance that the information required to be disclosed in the periodic reports we file or submit under the Exchange Act is (1) recorded, processed, summarized and reported within the time periods specified in SEC rules and forms, and (2) accumulated and communicated to our management, including the CEO and the CFO, as appropriate, to allow for timely decisions regarding required disclosure.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identified in connection with the evaluation required by Rules 13a-15(d) or 15d-15(d) under the Exchange Act in the quarter and year ended December 31, 2022 that materially affected, or are reasonably likely to materially affect, our internal control over financial reporting.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75"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Internal control over financial reporting refers to the process designed by, or under the supervision of, our CEO and CFO, and overseen by our board of directors, management and other personnel, to provide reasonable assurance regarding the reliability of financial reporting and the preparation of financial statements for external purposes in accordance with U.S. generally accepted accounting principles (‘U.S. GAAP’), and includes those policies and procedures that:</w:t>
      </w:r>
    </w:p>
    <w:p>
      <w:pPr>
        <w:spacing w:after="0" w:line="344" w:lineRule="exact"/>
        <w:rPr>
          <w:sz w:val="20"/>
          <w:szCs w:val="20"/>
          <w:color w:val="auto"/>
        </w:rPr>
      </w:pPr>
    </w:p>
    <w:p>
      <w:pPr>
        <w:ind w:left="760" w:hanging="378"/>
        <w:spacing w:after="0"/>
        <w:tabs>
          <w:tab w:leader="none" w:pos="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170" w:lineRule="exact"/>
        <w:rPr>
          <w:rFonts w:ascii="Times New Roman" w:cs="Times New Roman" w:eastAsia="Times New Roman" w:hAnsi="Times New Roman"/>
          <w:sz w:val="18"/>
          <w:szCs w:val="18"/>
          <w:color w:val="auto"/>
        </w:rPr>
      </w:pPr>
    </w:p>
    <w:p>
      <w:pPr>
        <w:ind w:left="760" w:right="240" w:hanging="378"/>
        <w:spacing w:after="0" w:line="312" w:lineRule="auto"/>
        <w:tabs>
          <w:tab w:leader="none" w:pos="7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that transactions are recorded as necessary to permit preparation of financial statements in accordance with U.S. GAAP and that our receipts and expenditures are being made only in accordance with authorizations of our management and directors; and</w:t>
      </w:r>
    </w:p>
    <w:p>
      <w:pPr>
        <w:spacing w:after="0" w:line="85" w:lineRule="exact"/>
        <w:rPr>
          <w:rFonts w:ascii="Times New Roman" w:cs="Times New Roman" w:eastAsia="Times New Roman" w:hAnsi="Times New Roman"/>
          <w:sz w:val="17"/>
          <w:szCs w:val="17"/>
          <w:color w:val="auto"/>
        </w:rPr>
      </w:pPr>
    </w:p>
    <w:p>
      <w:pPr>
        <w:ind w:left="760" w:right="300" w:hanging="378"/>
        <w:spacing w:after="0" w:line="281" w:lineRule="auto"/>
        <w:tabs>
          <w:tab w:leader="none" w:pos="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09"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7"/>
          <w:szCs w:val="17"/>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can also be circumvented by collusion or improper management override. Also, projections of any evaluation of effectiveness to future periods are subject to the risk that controls may become inadequate because of changes in conditions, or that the degree of compliance with the policies or procedures may deteriorate.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Management is responsible for establishing and maintaining the adequacy and effectiveness of our internal control over financial reporting. Under the supervision and with the participation of our management, including our CEO and CFO, we evaluated the effectiveness of our internal control over financial reporting as of December 31, 2022. In making this evaluation, management used the criteria set forth by the Committee of Sponsoring Organizations of the Treadway Commission in the report entitled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Based on this evaluation, management has concluded that we maintained effective internal control over financial reporting as of December 31, 2022.</w:t>
      </w:r>
    </w:p>
    <w:p>
      <w:pPr>
        <w:spacing w:after="0" w:line="128"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has been audited by Deloitte &amp; Touche LLP, an independent registered public accounting firm, as stated in their report titled “Report of Independent Registered Public Accounting Firm on Internal Control over Financial Reporting,” which is included herein.</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Shareholders and the Board of Directors of Willis Towers Watson Public Limited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75"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Willis Towers Watson Public Limited Company and subsidiaries (the ‘Company’)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28"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2022, of the Company and our report dated February 24, 2023, expressed an unqualified opinion on those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5"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 Deloitte &amp; Touche LLP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2023</w:t>
      </w: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Disclosures Required Pursuant to Section 13(r) of the Securities Exchange Act of 1934</w:t>
      </w:r>
    </w:p>
    <w:p>
      <w:pPr>
        <w:spacing w:after="0" w:line="17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Set forth below is a description of a matter reported pursuant to Section 219 of the Iran Threat Reduction and Syria Human Rights Act of 2012 and Section 13(r) of the Exchange Act. Concurrently with this Annual Report on Form 10-K, we are filing a notice pursuant to Section 13(r) of the Exchange Act that the matter has been disclosed herein.</w:t>
      </w:r>
    </w:p>
    <w:p>
      <w:pPr>
        <w:spacing w:after="0" w:line="12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Willis Limited, WTW’s main broking entity in the U.K., at the request and on behalf of certain reinsured clients, has obtained reinsurance coverage from the F.A.I.R. Aviation Pool (‘the Pool’), which is managed by Société Centrale de Réassurance, a Moroccan entity (‘SCR Maroc’). The membership of the Pool changes each policy year, but has in some, but not all, years included Iranian (re)insurance carriers, namely Bimeh Markazi Iran, Bimeh Asia (Asia Insurance Co), and Bimeh Iran (Iran Insurance Co) (collectively, the ‘Iranian Carriers’). As a broker, Willis Limited has, on behalf of its reinsured clients, made premium payments to SCR Maroc (acting on behalf of the Pool) and received claims payments from SCR Maroc (acting on behalf of the Pool), at times offset against premium payments owed to the Pool. Willis Limited has not made any payments to or received any payments from the Iranian Carriers directly. However, based on currently known information, our belief is that SCR Maroc may have paid to (or received from) Iranian Carriers a portion of those amounts corresponding to their share of the Pool for the relevant underwriting year. We do not believe, based on current information, that the Company teams working on the placement understood or intended the connections with Iranian Carriers described above.</w:t>
      </w:r>
    </w:p>
    <w:p>
      <w:pPr>
        <w:spacing w:after="0" w:line="132"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Since 2013, Willis Limited has made seven premium or netted premium/claim payments to SCR Maroc where Iranian Carriers were members of the Pool for the relevant policy year, in amounts equal to $134,728.12 plus EUR 7,242.40 in the aggregate. From these payments, Willis Limited retained commission of $21,860.71 plus EUR 2,566.86 in the aggregate.</w:t>
      </w:r>
    </w:p>
    <w:p>
      <w:pPr>
        <w:spacing w:after="0" w:line="123"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An affiliate of Willis Limited has submitted a voluntary self-disclosure to the U.S. Office of Foreign Assets Control (‘OFAC’) in relation to the above-described U.S. dollar transactions. It intends to cooperate fully with any investigation by OFAC.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intend to engage in future transactions or dealings with the Iranian Carriers.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0" w:right="4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0" w:right="1440"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5"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Information with respect to the executive officers of the Company is provided in Part I, Item 1 Business above under the heading ‘Information about Executive Officers of the Registrant’. All other information required by this Item will be provided in accordance with Instruction G(3) to Form 10-K no later than 120 days after the end of the Company’s fiscal year.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5"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will be provided in accordance with Instruction G(3) to Form 10-K no later than 120 days after the end of the Company’s fiscal year.</w:t>
      </w:r>
    </w:p>
    <w:p>
      <w:pPr>
        <w:spacing w:after="0" w:line="10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0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Information with respect to the Company’s Securities Authorized for Issuance Under Equity Compensation Plans as required by Item 201(d) of Regulation S-K is incorporated herein by reference to Item 5 of this Annual Report on Form 10-K. All other information required by this Item will be provided in accordance with Instruction G(3) to Form 10-K no later than 120 days after the end of the Company’s fiscal year.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will be provided in accordance with Instruction G(3) to Form 10-K no later than 120 days after the end of the Company’s fiscal year.</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75"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will be provided in accordance with Instruction G(3) to Form 10-K no later than 120 days after the end of the Company’s fiscal year.</w:t>
      </w:r>
    </w:p>
    <w:p>
      <w:pPr>
        <w:spacing w:after="0" w:line="1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55" w:right="4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760" w:right="5920" w:hanging="378"/>
        <w:spacing w:after="0" w:line="437" w:lineRule="auto"/>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have been included in Part II, Item 8: Report of Independent Registered Public Accounting Firm</w:t>
      </w:r>
    </w:p>
    <w:p>
      <w:pPr>
        <w:spacing w:after="0" w:line="1" w:lineRule="exact"/>
        <w:rPr>
          <w:rFonts w:ascii="Times New Roman" w:cs="Times New Roman" w:eastAsia="Times New Roman" w:hAnsi="Times New Roman"/>
          <w:sz w:val="18"/>
          <w:szCs w:val="18"/>
          <w:color w:val="auto"/>
        </w:rPr>
      </w:pPr>
    </w:p>
    <w:p>
      <w:pPr>
        <w:ind w:left="760" w:right="4300"/>
        <w:spacing w:after="0" w:line="43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 of Willis Towers Watson Public Limited Company Financial Statements:</w:t>
      </w:r>
    </w:p>
    <w:p>
      <w:pPr>
        <w:spacing w:after="0" w:line="1" w:lineRule="exact"/>
        <w:rPr>
          <w:rFonts w:ascii="Times New Roman" w:cs="Times New Roman" w:eastAsia="Times New Roman" w:hAnsi="Times New Roman"/>
          <w:sz w:val="18"/>
          <w:szCs w:val="18"/>
          <w:color w:val="auto"/>
        </w:rPr>
      </w:pPr>
    </w:p>
    <w:p>
      <w:pPr>
        <w:ind w:left="1500" w:right="1200"/>
        <w:spacing w:after="0" w:line="43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Income for each of the three years in the period ended December 31, 2022 Consolidated Balance Sheets at December 31, 2022 and 2021</w:t>
      </w:r>
    </w:p>
    <w:p>
      <w:pPr>
        <w:spacing w:after="0" w:line="1"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each of the three years in the period ended December 31, 2022</w:t>
      </w:r>
    </w:p>
    <w:p>
      <w:pPr>
        <w:spacing w:after="0" w:line="171" w:lineRule="exact"/>
        <w:rPr>
          <w:sz w:val="20"/>
          <w:szCs w:val="20"/>
          <w:color w:val="auto"/>
        </w:rPr>
      </w:pPr>
    </w:p>
    <w:p>
      <w:pPr>
        <w:ind w:left="1500" w:right="1580"/>
        <w:spacing w:after="0" w:line="406" w:lineRule="auto"/>
        <w:rPr>
          <w:sz w:val="20"/>
          <w:szCs w:val="20"/>
          <w:color w:val="auto"/>
        </w:rPr>
      </w:pPr>
      <w:r>
        <w:rPr>
          <w:rFonts w:ascii="Times New Roman" w:cs="Times New Roman" w:eastAsia="Times New Roman" w:hAnsi="Times New Roman"/>
          <w:sz w:val="18"/>
          <w:szCs w:val="18"/>
          <w:color w:val="auto"/>
        </w:rPr>
        <w:t>Consolidated Statements of Changes in Equity for each of the three years in the period ended December 31, 2022 Notes to the Consolidated Financial Statements</w:t>
      </w:r>
    </w:p>
    <w:p>
      <w:pPr>
        <w:spacing w:after="0" w:line="1" w:lineRule="exact"/>
        <w:rPr>
          <w:sz w:val="20"/>
          <w:szCs w:val="20"/>
          <w:color w:val="auto"/>
        </w:rPr>
      </w:pPr>
    </w:p>
    <w:p>
      <w:pPr>
        <w:ind w:left="760" w:hanging="378"/>
        <w:spacing w:after="0"/>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70" w:lineRule="exact"/>
        <w:rPr>
          <w:rFonts w:ascii="Times New Roman" w:cs="Times New Roman" w:eastAsia="Times New Roman" w:hAnsi="Times New Roman"/>
          <w:sz w:val="18"/>
          <w:szCs w:val="18"/>
          <w:color w:val="auto"/>
        </w:rPr>
      </w:pPr>
    </w:p>
    <w:p>
      <w:pPr>
        <w:ind w:left="760" w:right="8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reviewing the agreements included or incorporated by reference as exhibits to this Annual Report on Form 10-K, it is important to note that they are included to provide investors with information regarding their terms, and are not intended to provide any other factual or disclosure information about WTW or the other parties to the agreements. The agreements contain representations and warranties made by each of the parties to the applicable agreement. These representations and warranties have been made solely for the benefit of the other parties to the applicable agreement, and: should not be treated as categorical statements of fact, but rather as a way of allocating risk between the parties; have in some cases been qualified by disclosures that were made to the other party in connection with the negotiation of the applicable agreement, which disclosures are not necessarily reflected in the agreement; may apply standards of materiality in a way that is different from what may be material to investors; and were made only as of the date of the applicable agreement or such other date or dates as may be specified in the agreement and are subject to more recent developments.</w:t>
      </w:r>
    </w:p>
    <w:p>
      <w:pPr>
        <w:spacing w:after="0" w:line="131" w:lineRule="exact"/>
        <w:rPr>
          <w:rFonts w:ascii="Times New Roman" w:cs="Times New Roman" w:eastAsia="Times New Roman" w:hAnsi="Times New Roman"/>
          <w:sz w:val="18"/>
          <w:szCs w:val="18"/>
          <w:color w:val="auto"/>
        </w:rPr>
      </w:pPr>
    </w:p>
    <w:p>
      <w:pPr>
        <w:ind w:left="760" w:right="14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these representations and warranties may not describe the actual state of affairs as of the date they were made or at any other time. Additional information about WTW may be found elsewhere in this Annual Report on Form 10-K and our other public filings, which are available without charge through the SEC’s website at http://www.sec.gov.</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60" w:type="dxa"/>
            <w:vAlign w:val="bottom"/>
          </w:tcPr>
          <w:p>
            <w:pPr>
              <w:spacing w:after="0"/>
              <w:rPr>
                <w:sz w:val="5"/>
                <w:szCs w:val="5"/>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2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040" w:type="dxa"/>
            <w:vAlign w:val="bottom"/>
            <w:gridSpan w:val="8"/>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5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Schedul</w:t>
            </w:r>
          </w:p>
        </w:tc>
        <w:tc>
          <w:tcPr>
            <w:tcW w:w="140" w:type="dxa"/>
            <w:vAlign w:val="bottom"/>
          </w:tcPr>
          <w:p>
            <w:pPr>
              <w:spacing w:after="0"/>
              <w:rPr>
                <w:sz w:val="11"/>
                <w:szCs w:val="11"/>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w:t>
            </w:r>
          </w:p>
        </w:tc>
        <w:tc>
          <w:tcPr>
            <w:tcW w:w="140" w:type="dxa"/>
            <w:vAlign w:val="bottom"/>
          </w:tcPr>
          <w:p>
            <w:pPr>
              <w:spacing w:after="0"/>
              <w:rPr>
                <w:sz w:val="11"/>
                <w:szCs w:val="11"/>
                <w:color w:val="auto"/>
              </w:rPr>
            </w:pPr>
          </w:p>
        </w:tc>
        <w:tc>
          <w:tcPr>
            <w:tcW w:w="10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5040" w:type="dxa"/>
            <w:vAlign w:val="bottom"/>
            <w:gridSpan w:val="8"/>
            <w:vMerge w:val="continue"/>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w:t>
            </w:r>
          </w:p>
        </w:tc>
        <w:tc>
          <w:tcPr>
            <w:tcW w:w="1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Herewith</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 w:type="dxa"/>
            <w:vAlign w:val="bottom"/>
            <w:vMerge w:val="restart"/>
          </w:tcPr>
          <w:p>
            <w:pPr>
              <w:spacing w:after="0"/>
              <w:rPr>
                <w:sz w:val="2"/>
                <w:szCs w:val="2"/>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w:t>
            </w:r>
          </w:p>
        </w:tc>
        <w:tc>
          <w:tcPr>
            <w:tcW w:w="1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60" w:type="dxa"/>
            <w:vAlign w:val="bottom"/>
            <w:tcBorders>
              <w:right w:val="single" w:sz="8" w:color="CFF0FC"/>
            </w:tcBorders>
          </w:tcPr>
          <w:p>
            <w:pPr>
              <w:spacing w:after="0"/>
              <w:rPr>
                <w:sz w:val="16"/>
                <w:szCs w:val="16"/>
                <w:color w:val="auto"/>
              </w:rPr>
            </w:pPr>
          </w:p>
        </w:tc>
        <w:tc>
          <w:tcPr>
            <w:tcW w:w="6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2.1</w:t>
            </w:r>
          </w:p>
        </w:tc>
        <w:tc>
          <w:tcPr>
            <w:tcW w:w="140" w:type="dxa"/>
            <w:vAlign w:val="bottom"/>
            <w:tcBorders>
              <w:bottom w:val="single" w:sz="8" w:color="CFF0FC"/>
            </w:tcBorders>
            <w:shd w:val="clear" w:color="auto" w:fill="CFF0FC"/>
          </w:tcPr>
          <w:p>
            <w:pPr>
              <w:spacing w:after="0"/>
              <w:rPr>
                <w:sz w:val="16"/>
                <w:szCs w:val="16"/>
                <w:color w:val="auto"/>
              </w:rPr>
            </w:pPr>
          </w:p>
        </w:tc>
        <w:tc>
          <w:tcPr>
            <w:tcW w:w="6280" w:type="dxa"/>
            <w:vAlign w:val="bottom"/>
            <w:tcBorders>
              <w:bottom w:val="single" w:sz="8" w:color="0000FF"/>
            </w:tcBorders>
            <w:gridSpan w:val="5"/>
            <w:shd w:val="clear" w:color="auto" w:fill="CFF0FC"/>
          </w:tcPr>
          <w:p>
            <w:pPr>
              <w:spacing w:after="0" w:line="189" w:lineRule="exact"/>
              <w:rPr>
                <w:rFonts w:ascii="Times New Roman" w:cs="Times New Roman" w:eastAsia="Times New Roman" w:hAnsi="Times New Roman"/>
                <w:sz w:val="18"/>
                <w:szCs w:val="18"/>
                <w:color w:val="0000FF"/>
              </w:rPr>
            </w:pPr>
            <w:hyperlink r:id="rId702">
              <w:r>
                <w:rPr>
                  <w:rFonts w:ascii="Times New Roman" w:cs="Times New Roman" w:eastAsia="Times New Roman" w:hAnsi="Times New Roman"/>
                  <w:sz w:val="18"/>
                  <w:szCs w:val="18"/>
                  <w:color w:val="0000FF"/>
                </w:rPr>
                <w:t>Agreement and Plan of Merger, dated as of June 29, 2015, by and among Willis Group</w:t>
              </w:r>
            </w:hyperlink>
          </w:p>
        </w:tc>
        <w:tc>
          <w:tcPr>
            <w:tcW w:w="580" w:type="dxa"/>
            <w:vAlign w:val="bottom"/>
            <w:tcBorders>
              <w:bottom w:val="single" w:sz="8" w:color="CFF0FC"/>
            </w:tcBorders>
            <w:gridSpan w:val="4"/>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tcBorders>
              <w:bottom w:val="single" w:sz="8" w:color="CFF0FC"/>
            </w:tcBorders>
            <w:gridSpan w:val="2"/>
            <w:shd w:val="clear" w:color="auto" w:fill="CFF0FC"/>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7"/>
              </w:rPr>
              <w:t>2.1</w:t>
            </w:r>
          </w:p>
        </w:tc>
        <w:tc>
          <w:tcPr>
            <w:tcW w:w="1220" w:type="dxa"/>
            <w:vAlign w:val="bottom"/>
            <w:tcBorders>
              <w:bottom w:val="single" w:sz="8" w:color="CFF0FC"/>
            </w:tcBorders>
            <w:gridSpan w:val="3"/>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June 30, 2015</w:t>
            </w:r>
          </w:p>
        </w:tc>
        <w:tc>
          <w:tcPr>
            <w:tcW w:w="12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right w:val="single" w:sz="8" w:color="CFF0FC"/>
            </w:tcBorders>
            <w:shd w:val="clear" w:color="auto" w:fill="CFF0FC"/>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0" w:type="dxa"/>
            <w:vAlign w:val="bottom"/>
            <w:tcBorders>
              <w:right w:val="single" w:sz="8" w:color="CFF0FC"/>
            </w:tcBorders>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700" w:type="dxa"/>
            <w:vAlign w:val="bottom"/>
            <w:tcBorders>
              <w:bottom w:val="single" w:sz="8" w:color="0000FF"/>
            </w:tcBorders>
            <w:gridSpan w:val="3"/>
            <w:shd w:val="clear" w:color="auto" w:fill="CFF0FC"/>
          </w:tcPr>
          <w:p>
            <w:pPr>
              <w:spacing w:after="0" w:line="195" w:lineRule="exact"/>
              <w:rPr>
                <w:rFonts w:ascii="Times New Roman" w:cs="Times New Roman" w:eastAsia="Times New Roman" w:hAnsi="Times New Roman"/>
                <w:sz w:val="18"/>
                <w:szCs w:val="18"/>
                <w:color w:val="0000FF"/>
                <w:w w:val="99"/>
              </w:rPr>
            </w:pPr>
            <w:hyperlink r:id="rId702">
              <w:r>
                <w:rPr>
                  <w:rFonts w:ascii="Times New Roman" w:cs="Times New Roman" w:eastAsia="Times New Roman" w:hAnsi="Times New Roman"/>
                  <w:sz w:val="18"/>
                  <w:szCs w:val="18"/>
                  <w:color w:val="0000FF"/>
                  <w:w w:val="99"/>
                </w:rPr>
                <w:t>Holdings plc, Citadel Merger Sub, Inc. and Towers Watson &amp; Co</w:t>
              </w:r>
            </w:hyperlink>
          </w:p>
        </w:tc>
        <w:tc>
          <w:tcPr>
            <w:tcW w:w="2160" w:type="dxa"/>
            <w:vAlign w:val="bottom"/>
            <w:tcBorders>
              <w:bottom w:val="single" w:sz="8" w:color="CFF0FC"/>
            </w:tcBorders>
            <w:gridSpan w:val="6"/>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right w:val="single" w:sz="8" w:color="CFF0FC"/>
            </w:tcBorders>
            <w:shd w:val="clear" w:color="auto" w:fill="CFF0FC"/>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2.2</w:t>
            </w:r>
          </w:p>
        </w:tc>
        <w:tc>
          <w:tcPr>
            <w:tcW w:w="140" w:type="dxa"/>
            <w:vAlign w:val="bottom"/>
          </w:tcPr>
          <w:p>
            <w:pPr>
              <w:spacing w:after="0"/>
              <w:rPr>
                <w:sz w:val="16"/>
                <w:szCs w:val="16"/>
                <w:color w:val="auto"/>
              </w:rPr>
            </w:pPr>
          </w:p>
        </w:tc>
        <w:tc>
          <w:tcPr>
            <w:tcW w:w="6360" w:type="dxa"/>
            <w:vAlign w:val="bottom"/>
            <w:tcBorders>
              <w:bottom w:val="single" w:sz="8" w:color="0000FF"/>
            </w:tcBorders>
            <w:gridSpan w:val="6"/>
          </w:tcPr>
          <w:p>
            <w:pPr>
              <w:spacing w:after="0" w:line="189" w:lineRule="exact"/>
              <w:rPr>
                <w:rFonts w:ascii="Times New Roman" w:cs="Times New Roman" w:eastAsia="Times New Roman" w:hAnsi="Times New Roman"/>
                <w:sz w:val="18"/>
                <w:szCs w:val="18"/>
                <w:color w:val="0000FF"/>
              </w:rPr>
            </w:pPr>
            <w:hyperlink r:id="rId703">
              <w:r>
                <w:rPr>
                  <w:rFonts w:ascii="Times New Roman" w:cs="Times New Roman" w:eastAsia="Times New Roman" w:hAnsi="Times New Roman"/>
                  <w:sz w:val="18"/>
                  <w:szCs w:val="18"/>
                  <w:color w:val="0000FF"/>
                </w:rPr>
                <w:t>Amendment No. 1 to Agreement and Plan of Merger, dated November 19, 2015, by and</w:t>
              </w:r>
            </w:hyperlink>
          </w:p>
        </w:tc>
        <w:tc>
          <w:tcPr>
            <w:tcW w:w="500" w:type="dxa"/>
            <w:vAlign w:val="bottom"/>
            <w:gridSpan w:val="3"/>
          </w:tcPr>
          <w:p>
            <w:pPr>
              <w:spacing w:after="0"/>
              <w:rPr>
                <w:sz w:val="16"/>
                <w:szCs w:val="16"/>
                <w:color w:val="auto"/>
              </w:rPr>
            </w:pPr>
          </w:p>
        </w:tc>
        <w:tc>
          <w:tcPr>
            <w:tcW w:w="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gridSpan w:val="2"/>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7"/>
              </w:rPr>
              <w:t>2.1</w:t>
            </w:r>
          </w:p>
        </w:tc>
        <w:tc>
          <w:tcPr>
            <w:tcW w:w="1220" w:type="dxa"/>
            <w:vAlign w:val="bottom"/>
            <w:gridSpan w:val="3"/>
          </w:tcPr>
          <w:p>
            <w:pPr>
              <w:ind w:left="140"/>
              <w:spacing w:after="0" w:line="189" w:lineRule="exact"/>
              <w:rPr>
                <w:sz w:val="20"/>
                <w:szCs w:val="20"/>
                <w:color w:val="auto"/>
              </w:rPr>
            </w:pPr>
            <w:r>
              <w:rPr>
                <w:rFonts w:ascii="Times New Roman" w:cs="Times New Roman" w:eastAsia="Times New Roman" w:hAnsi="Times New Roman"/>
                <w:sz w:val="18"/>
                <w:szCs w:val="18"/>
                <w:color w:val="auto"/>
              </w:rPr>
              <w:t>November 20,</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60" w:type="dxa"/>
            <w:vAlign w:val="bottom"/>
            <w:gridSpan w:val="9"/>
          </w:tcPr>
          <w:p>
            <w:pPr>
              <w:spacing w:after="0" w:line="195" w:lineRule="exact"/>
              <w:rPr>
                <w:rFonts w:ascii="Times New Roman" w:cs="Times New Roman" w:eastAsia="Times New Roman" w:hAnsi="Times New Roman"/>
                <w:sz w:val="18"/>
                <w:szCs w:val="18"/>
                <w:color w:val="0000FF"/>
              </w:rPr>
            </w:pPr>
            <w:hyperlink r:id="rId703">
              <w:r>
                <w:rPr>
                  <w:rFonts w:ascii="Times New Roman" w:cs="Times New Roman" w:eastAsia="Times New Roman" w:hAnsi="Times New Roman"/>
                  <w:sz w:val="18"/>
                  <w:szCs w:val="18"/>
                  <w:color w:val="0000FF"/>
                </w:rPr>
                <w:t>among Willis, Merger Sub and Towers Watson</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gridSpan w:val="2"/>
          </w:tcPr>
          <w:p>
            <w:pPr>
              <w:ind w:left="140"/>
              <w:spacing w:after="0" w:line="195" w:lineRule="exact"/>
              <w:rPr>
                <w:sz w:val="20"/>
                <w:szCs w:val="20"/>
                <w:color w:val="auto"/>
              </w:rPr>
            </w:pPr>
            <w:r>
              <w:rPr>
                <w:rFonts w:ascii="Times New Roman" w:cs="Times New Roman" w:eastAsia="Times New Roman" w:hAnsi="Times New Roman"/>
                <w:sz w:val="18"/>
                <w:szCs w:val="18"/>
                <w:color w:val="auto"/>
              </w:rPr>
              <w:t>2015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Borders>
              <w:top w:val="single" w:sz="8" w:color="0000FF"/>
            </w:tcBorders>
          </w:tcPr>
          <w:p>
            <w:pPr>
              <w:spacing w:after="0"/>
              <w:rPr>
                <w:sz w:val="2"/>
                <w:szCs w:val="2"/>
                <w:color w:val="auto"/>
              </w:rPr>
            </w:pPr>
          </w:p>
        </w:tc>
        <w:tc>
          <w:tcPr>
            <w:tcW w:w="1540" w:type="dxa"/>
            <w:vAlign w:val="bottom"/>
            <w:tcBorders>
              <w:top w:val="single" w:sz="8" w:color="0000FF"/>
            </w:tcBorders>
          </w:tcPr>
          <w:p>
            <w:pPr>
              <w:spacing w:after="0"/>
              <w:rPr>
                <w:sz w:val="2"/>
                <w:szCs w:val="2"/>
                <w:color w:val="auto"/>
              </w:rPr>
            </w:pPr>
          </w:p>
        </w:tc>
        <w:tc>
          <w:tcPr>
            <w:tcW w:w="1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Borders>
              <w:right w:val="single" w:sz="8" w:color="CFF0FC"/>
            </w:tcBorders>
          </w:tcPr>
          <w:p>
            <w:pPr>
              <w:spacing w:after="0"/>
              <w:rPr>
                <w:sz w:val="16"/>
                <w:szCs w:val="16"/>
                <w:color w:val="auto"/>
              </w:rPr>
            </w:pPr>
          </w:p>
        </w:tc>
        <w:tc>
          <w:tcPr>
            <w:tcW w:w="6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Borders>
              <w:bottom w:val="single" w:sz="8" w:color="CFF0FC"/>
            </w:tcBorders>
            <w:shd w:val="clear" w:color="auto" w:fill="CFF0FC"/>
          </w:tcPr>
          <w:p>
            <w:pPr>
              <w:spacing w:after="0"/>
              <w:rPr>
                <w:sz w:val="16"/>
                <w:szCs w:val="16"/>
                <w:color w:val="auto"/>
              </w:rPr>
            </w:pPr>
          </w:p>
        </w:tc>
        <w:tc>
          <w:tcPr>
            <w:tcW w:w="6600" w:type="dxa"/>
            <w:vAlign w:val="bottom"/>
            <w:tcBorders>
              <w:bottom w:val="single" w:sz="8" w:color="0000FF"/>
            </w:tcBorders>
            <w:gridSpan w:val="7"/>
            <w:shd w:val="clear" w:color="auto" w:fill="CFF0FC"/>
          </w:tcPr>
          <w:p>
            <w:pPr>
              <w:spacing w:after="0" w:line="189" w:lineRule="exact"/>
              <w:rPr>
                <w:rFonts w:ascii="Times New Roman" w:cs="Times New Roman" w:eastAsia="Times New Roman" w:hAnsi="Times New Roman"/>
                <w:sz w:val="18"/>
                <w:szCs w:val="18"/>
                <w:color w:val="0000FF"/>
                <w:w w:val="99"/>
              </w:rPr>
            </w:pPr>
            <w:hyperlink r:id="rId704">
              <w:r>
                <w:rPr>
                  <w:rFonts w:ascii="Times New Roman" w:cs="Times New Roman" w:eastAsia="Times New Roman" w:hAnsi="Times New Roman"/>
                  <w:sz w:val="18"/>
                  <w:szCs w:val="18"/>
                  <w:color w:val="0000FF"/>
                  <w:w w:val="99"/>
                </w:rPr>
                <w:t>Amended and Restated Memorandum and Articles of Association of Willis Towers Watson</w:t>
              </w:r>
            </w:hyperlink>
          </w:p>
        </w:tc>
        <w:tc>
          <w:tcPr>
            <w:tcW w:w="260" w:type="dxa"/>
            <w:vAlign w:val="bottom"/>
            <w:tcBorders>
              <w:bottom w:val="single" w:sz="8" w:color="CFF0FC"/>
            </w:tcBorders>
            <w:gridSpan w:val="2"/>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tcBorders>
              <w:bottom w:val="single" w:sz="8" w:color="CFF0FC"/>
            </w:tcBorders>
            <w:gridSpan w:val="2"/>
            <w:shd w:val="clear" w:color="auto" w:fill="CFF0FC"/>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7"/>
              </w:rPr>
              <w:t>3.1</w:t>
            </w:r>
          </w:p>
        </w:tc>
        <w:tc>
          <w:tcPr>
            <w:tcW w:w="1220" w:type="dxa"/>
            <w:vAlign w:val="bottom"/>
            <w:tcBorders>
              <w:bottom w:val="single" w:sz="8" w:color="CFF0FC"/>
            </w:tcBorders>
            <w:gridSpan w:val="3"/>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June 15, 2017</w:t>
            </w:r>
          </w:p>
        </w:tc>
        <w:tc>
          <w:tcPr>
            <w:tcW w:w="12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right w:val="single" w:sz="8" w:color="CFF0FC"/>
            </w:tcBorders>
            <w:shd w:val="clear" w:color="auto" w:fill="CFF0FC"/>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60" w:type="dxa"/>
            <w:vAlign w:val="bottom"/>
            <w:gridSpan w:val="9"/>
            <w:shd w:val="clear" w:color="auto" w:fill="CFF0FC"/>
          </w:tcPr>
          <w:p>
            <w:pPr>
              <w:spacing w:after="0" w:line="195" w:lineRule="exact"/>
              <w:rPr>
                <w:rFonts w:ascii="Times New Roman" w:cs="Times New Roman" w:eastAsia="Times New Roman" w:hAnsi="Times New Roman"/>
                <w:sz w:val="18"/>
                <w:szCs w:val="18"/>
                <w:color w:val="0000FF"/>
              </w:rPr>
            </w:pPr>
            <w:hyperlink r:id="rId704">
              <w:r>
                <w:rPr>
                  <w:rFonts w:ascii="Times New Roman" w:cs="Times New Roman" w:eastAsia="Times New Roman" w:hAnsi="Times New Roman"/>
                  <w:sz w:val="18"/>
                  <w:szCs w:val="18"/>
                  <w:color w:val="0000FF"/>
                </w:rPr>
                <w:t>Public Limited Company</w:t>
              </w:r>
            </w:hyperlink>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tcBorders>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Borders>
              <w:right w:val="single" w:sz="8" w:color="CFF0FC"/>
            </w:tcBorders>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820" w:type="dxa"/>
            <w:vAlign w:val="bottom"/>
            <w:tcBorders>
              <w:top w:val="single" w:sz="8" w:color="0000FF"/>
            </w:tcBorders>
            <w:shd w:val="clear" w:color="auto" w:fill="CFF0FC"/>
          </w:tcPr>
          <w:p>
            <w:pPr>
              <w:spacing w:after="0"/>
              <w:rPr>
                <w:sz w:val="2"/>
                <w:szCs w:val="2"/>
                <w:color w:val="auto"/>
              </w:rPr>
            </w:pPr>
          </w:p>
        </w:tc>
        <w:tc>
          <w:tcPr>
            <w:tcW w:w="1540" w:type="dxa"/>
            <w:vAlign w:val="bottom"/>
            <w:tcBorders>
              <w:top w:val="single" w:sz="8" w:color="CFF0FC"/>
            </w:tcBorders>
            <w:shd w:val="clear" w:color="auto" w:fill="CFF0FC"/>
          </w:tcPr>
          <w:p>
            <w:pPr>
              <w:spacing w:after="0"/>
              <w:rPr>
                <w:sz w:val="2"/>
                <w:szCs w:val="2"/>
                <w:color w:val="auto"/>
              </w:rPr>
            </w:pPr>
          </w:p>
        </w:tc>
        <w:tc>
          <w:tcPr>
            <w:tcW w:w="1340" w:type="dxa"/>
            <w:vAlign w:val="bottom"/>
            <w:tcBorders>
              <w:top w:val="single" w:sz="8" w:color="CFF0FC"/>
            </w:tcBorders>
            <w:shd w:val="clear" w:color="auto" w:fill="CFF0FC"/>
          </w:tcPr>
          <w:p>
            <w:pPr>
              <w:spacing w:after="0"/>
              <w:rPr>
                <w:sz w:val="2"/>
                <w:szCs w:val="2"/>
                <w:color w:val="auto"/>
              </w:rPr>
            </w:pPr>
          </w:p>
        </w:tc>
        <w:tc>
          <w:tcPr>
            <w:tcW w:w="110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0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660" w:type="dxa"/>
            <w:vAlign w:val="bottom"/>
            <w:tcBorders>
              <w:top w:val="single" w:sz="8" w:color="CFF0FC"/>
              <w:right w:val="single" w:sz="8" w:color="CFF0FC"/>
            </w:tcBorders>
            <w:shd w:val="clear" w:color="auto" w:fill="CFF0FC"/>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16"/>
                <w:szCs w:val="16"/>
                <w:color w:val="auto"/>
              </w:rPr>
            </w:pPr>
          </w:p>
        </w:tc>
        <w:tc>
          <w:tcPr>
            <w:tcW w:w="6860" w:type="dxa"/>
            <w:vAlign w:val="bottom"/>
            <w:gridSpan w:val="9"/>
          </w:tcPr>
          <w:p>
            <w:pPr>
              <w:spacing w:after="0" w:line="189" w:lineRule="exact"/>
              <w:rPr>
                <w:rFonts w:ascii="Times New Roman" w:cs="Times New Roman" w:eastAsia="Times New Roman" w:hAnsi="Times New Roman"/>
                <w:sz w:val="18"/>
                <w:szCs w:val="18"/>
                <w:color w:val="0000FF"/>
              </w:rPr>
            </w:pPr>
            <w:hyperlink r:id="rId705">
              <w:r>
                <w:rPr>
                  <w:rFonts w:ascii="Times New Roman" w:cs="Times New Roman" w:eastAsia="Times New Roman" w:hAnsi="Times New Roman"/>
                  <w:sz w:val="18"/>
                  <w:szCs w:val="18"/>
                  <w:color w:val="0000FF"/>
                </w:rPr>
                <w:t>Description of Willis Towers Watson Public Limited Company’s ordinary shares</w:t>
              </w:r>
            </w:hyperlink>
          </w:p>
        </w:tc>
        <w:tc>
          <w:tcPr>
            <w:tcW w:w="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10-K</w:t>
            </w:r>
          </w:p>
        </w:tc>
        <w:tc>
          <w:tcPr>
            <w:tcW w:w="580" w:type="dxa"/>
            <w:vAlign w:val="bottom"/>
            <w:gridSpan w:val="2"/>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7"/>
              </w:rPr>
              <w:t>4.1</w:t>
            </w:r>
          </w:p>
        </w:tc>
        <w:tc>
          <w:tcPr>
            <w:tcW w:w="1220" w:type="dxa"/>
            <w:vAlign w:val="bottom"/>
            <w:gridSpan w:val="3"/>
          </w:tcPr>
          <w:p>
            <w:pPr>
              <w:ind w:left="140"/>
              <w:spacing w:after="0" w:line="189" w:lineRule="exact"/>
              <w:rPr>
                <w:sz w:val="20"/>
                <w:szCs w:val="20"/>
                <w:color w:val="auto"/>
              </w:rPr>
            </w:pPr>
            <w:r>
              <w:rPr>
                <w:rFonts w:ascii="Times New Roman" w:cs="Times New Roman" w:eastAsia="Times New Roman" w:hAnsi="Times New Roman"/>
                <w:sz w:val="18"/>
                <w:szCs w:val="18"/>
                <w:color w:val="auto"/>
              </w:rPr>
              <w:t>February 26,</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tcBorders>
              <w:top w:val="single" w:sz="8" w:color="0000FF"/>
            </w:tcBorders>
          </w:tcPr>
          <w:p>
            <w:pPr>
              <w:spacing w:after="0"/>
              <w:rPr>
                <w:sz w:val="20"/>
                <w:szCs w:val="20"/>
                <w:color w:val="auto"/>
              </w:rPr>
            </w:pPr>
          </w:p>
        </w:tc>
        <w:tc>
          <w:tcPr>
            <w:tcW w:w="1540" w:type="dxa"/>
            <w:vAlign w:val="bottom"/>
            <w:tcBorders>
              <w:top w:val="single" w:sz="8" w:color="0000FF"/>
            </w:tcBorders>
          </w:tcPr>
          <w:p>
            <w:pPr>
              <w:spacing w:after="0"/>
              <w:rPr>
                <w:sz w:val="20"/>
                <w:szCs w:val="20"/>
                <w:color w:val="auto"/>
              </w:rPr>
            </w:pPr>
          </w:p>
        </w:tc>
        <w:tc>
          <w:tcPr>
            <w:tcW w:w="1340" w:type="dxa"/>
            <w:vAlign w:val="bottom"/>
            <w:tcBorders>
              <w:top w:val="single" w:sz="8" w:color="0000FF"/>
            </w:tcBorders>
          </w:tcPr>
          <w:p>
            <w:pPr>
              <w:spacing w:after="0"/>
              <w:rPr>
                <w:sz w:val="20"/>
                <w:szCs w:val="20"/>
                <w:color w:val="auto"/>
              </w:rPr>
            </w:pPr>
          </w:p>
        </w:tc>
        <w:tc>
          <w:tcPr>
            <w:tcW w:w="1100" w:type="dxa"/>
            <w:vAlign w:val="bottom"/>
            <w:tcBorders>
              <w:top w:val="single" w:sz="8" w:color="0000FF"/>
            </w:tcBorders>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940" w:type="dxa"/>
            <w:vAlign w:val="bottom"/>
            <w:gridSpan w:val="5"/>
          </w:tcPr>
          <w:p>
            <w:pPr>
              <w:jc w:val="right"/>
              <w:ind w:right="1080"/>
              <w:spacing w:after="0"/>
              <w:rPr>
                <w:sz w:val="20"/>
                <w:szCs w:val="20"/>
                <w:color w:val="auto"/>
              </w:rPr>
            </w:pPr>
            <w:r>
              <w:rPr>
                <w:rFonts w:ascii="Times New Roman" w:cs="Times New Roman" w:eastAsia="Times New Roman" w:hAnsi="Times New Roman"/>
                <w:sz w:val="18"/>
                <w:szCs w:val="18"/>
                <w:color w:val="auto"/>
              </w:rPr>
              <w:t>129</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188"/>
        </w:trPr>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60" w:type="dxa"/>
            <w:vAlign w:val="bottom"/>
          </w:tcPr>
          <w:p>
            <w:pPr>
              <w:spacing w:after="0"/>
              <w:rPr>
                <w:sz w:val="5"/>
                <w:szCs w:val="5"/>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2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300" w:type="dxa"/>
            <w:vAlign w:val="bottom"/>
            <w:gridSpan w:val="2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5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Schedul</w:t>
            </w:r>
          </w:p>
        </w:tc>
        <w:tc>
          <w:tcPr>
            <w:tcW w:w="140" w:type="dxa"/>
            <w:vAlign w:val="bottom"/>
          </w:tcPr>
          <w:p>
            <w:pPr>
              <w:spacing w:after="0"/>
              <w:rPr>
                <w:sz w:val="11"/>
                <w:szCs w:val="11"/>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w:t>
            </w:r>
          </w:p>
        </w:tc>
        <w:tc>
          <w:tcPr>
            <w:tcW w:w="140" w:type="dxa"/>
            <w:vAlign w:val="bottom"/>
          </w:tcPr>
          <w:p>
            <w:pPr>
              <w:spacing w:after="0"/>
              <w:rPr>
                <w:sz w:val="11"/>
                <w:szCs w:val="11"/>
                <w:color w:val="auto"/>
              </w:rPr>
            </w:pPr>
          </w:p>
        </w:tc>
        <w:tc>
          <w:tcPr>
            <w:tcW w:w="10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300" w:type="dxa"/>
            <w:vAlign w:val="bottom"/>
            <w:gridSpan w:val="25"/>
            <w:vMerge w:val="continue"/>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w:t>
            </w:r>
          </w:p>
        </w:tc>
        <w:tc>
          <w:tcPr>
            <w:tcW w:w="1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Herewith</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 w:type="dxa"/>
            <w:vAlign w:val="bottom"/>
            <w:vMerge w:val="restart"/>
          </w:tcPr>
          <w:p>
            <w:pPr>
              <w:spacing w:after="0"/>
              <w:rPr>
                <w:sz w:val="2"/>
                <w:szCs w:val="2"/>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w:t>
            </w:r>
          </w:p>
        </w:tc>
        <w:tc>
          <w:tcPr>
            <w:tcW w:w="1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60" w:type="dxa"/>
            <w:vAlign w:val="bottom"/>
            <w:tcBorders>
              <w:right w:val="single" w:sz="8" w:color="CFF0FC"/>
            </w:tcBorders>
          </w:tcPr>
          <w:p>
            <w:pPr>
              <w:spacing w:after="0"/>
              <w:rPr>
                <w:sz w:val="16"/>
                <w:szCs w:val="16"/>
                <w:color w:val="auto"/>
              </w:rPr>
            </w:pPr>
          </w:p>
        </w:tc>
        <w:tc>
          <w:tcPr>
            <w:tcW w:w="6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Borders>
              <w:bottom w:val="single" w:sz="8" w:color="CFF0FC"/>
            </w:tcBorders>
            <w:shd w:val="clear" w:color="auto" w:fill="CFF0FC"/>
          </w:tcPr>
          <w:p>
            <w:pPr>
              <w:spacing w:after="0"/>
              <w:rPr>
                <w:sz w:val="16"/>
                <w:szCs w:val="16"/>
                <w:color w:val="auto"/>
              </w:rPr>
            </w:pPr>
          </w:p>
        </w:tc>
        <w:tc>
          <w:tcPr>
            <w:tcW w:w="6740" w:type="dxa"/>
            <w:vAlign w:val="bottom"/>
            <w:tcBorders>
              <w:bottom w:val="single" w:sz="8" w:color="0000FF"/>
            </w:tcBorders>
            <w:gridSpan w:val="30"/>
            <w:shd w:val="clear" w:color="auto" w:fill="CFF0FC"/>
          </w:tcPr>
          <w:p>
            <w:pPr>
              <w:spacing w:after="0" w:line="189" w:lineRule="exact"/>
              <w:rPr>
                <w:rFonts w:ascii="Times New Roman" w:cs="Times New Roman" w:eastAsia="Times New Roman" w:hAnsi="Times New Roman"/>
                <w:sz w:val="18"/>
                <w:szCs w:val="18"/>
                <w:color w:val="0000FF"/>
              </w:rPr>
            </w:pPr>
            <w:hyperlink r:id="rId708">
              <w:r>
                <w:rPr>
                  <w:rFonts w:ascii="Times New Roman" w:cs="Times New Roman" w:eastAsia="Times New Roman" w:hAnsi="Times New Roman"/>
                  <w:sz w:val="18"/>
                  <w:szCs w:val="18"/>
                  <w:color w:val="0000FF"/>
                </w:rPr>
                <w:t>Indenture, dated as of August 15, 2013, by and among Trinity Acquisition Limited, as issuer,</w:t>
              </w:r>
            </w:hyperlink>
          </w:p>
        </w:tc>
        <w:tc>
          <w:tcPr>
            <w:tcW w:w="12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tcBorders>
              <w:bottom w:val="single" w:sz="8" w:color="CFF0FC"/>
            </w:tcBorders>
            <w:gridSpan w:val="2"/>
            <w:shd w:val="clear" w:color="auto" w:fill="CFF0FC"/>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7"/>
              </w:rPr>
              <w:t>4.1</w:t>
            </w:r>
          </w:p>
        </w:tc>
        <w:tc>
          <w:tcPr>
            <w:tcW w:w="1220" w:type="dxa"/>
            <w:vAlign w:val="bottom"/>
            <w:tcBorders>
              <w:bottom w:val="single" w:sz="8" w:color="CFF0FC"/>
            </w:tcBorders>
            <w:gridSpan w:val="3"/>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August 15,</w:t>
            </w:r>
          </w:p>
        </w:tc>
        <w:tc>
          <w:tcPr>
            <w:tcW w:w="12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right w:val="single" w:sz="8" w:color="CFF0FC"/>
            </w:tcBorders>
            <w:shd w:val="clear" w:color="auto" w:fill="CFF0FC"/>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560" w:type="dxa"/>
            <w:vAlign w:val="bottom"/>
            <w:tcBorders>
              <w:bottom w:val="single" w:sz="8" w:color="0000FF"/>
            </w:tcBorders>
            <w:gridSpan w:val="22"/>
            <w:shd w:val="clear" w:color="auto" w:fill="CFF0FC"/>
          </w:tcPr>
          <w:p>
            <w:pPr>
              <w:spacing w:after="0" w:line="195" w:lineRule="exact"/>
              <w:rPr>
                <w:rFonts w:ascii="Times New Roman" w:cs="Times New Roman" w:eastAsia="Times New Roman" w:hAnsi="Times New Roman"/>
                <w:sz w:val="18"/>
                <w:szCs w:val="18"/>
                <w:color w:val="0000FF"/>
                <w:w w:val="99"/>
              </w:rPr>
            </w:pPr>
            <w:hyperlink r:id="rId708">
              <w:r>
                <w:rPr>
                  <w:rFonts w:ascii="Times New Roman" w:cs="Times New Roman" w:eastAsia="Times New Roman" w:hAnsi="Times New Roman"/>
                  <w:sz w:val="18"/>
                  <w:szCs w:val="18"/>
                  <w:color w:val="0000FF"/>
                  <w:w w:val="99"/>
                </w:rPr>
                <w:t>Willis Group Holdings Public Limited Company, Willis Netherlands Holdings B.V., Willis</w:t>
              </w:r>
            </w:hyperlink>
          </w:p>
        </w:tc>
        <w:tc>
          <w:tcPr>
            <w:tcW w:w="300" w:type="dxa"/>
            <w:vAlign w:val="bottom"/>
            <w:tcBorders>
              <w:bottom w:val="single" w:sz="8" w:color="CFF0FC"/>
            </w:tcBorders>
            <w:gridSpan w:val="9"/>
            <w:shd w:val="clear" w:color="auto" w:fill="CFF0FC"/>
          </w:tcPr>
          <w:p>
            <w:pPr>
              <w:spacing w:after="0"/>
              <w:rPr>
                <w:sz w:val="17"/>
                <w:szCs w:val="17"/>
                <w:color w:val="auto"/>
              </w:rPr>
            </w:pPr>
          </w:p>
        </w:tc>
        <w:tc>
          <w:tcPr>
            <w:tcW w:w="5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CFF0FC"/>
            </w:tcBorders>
            <w:gridSpan w:val="2"/>
            <w:shd w:val="clear" w:color="auto" w:fill="CFF0FC"/>
          </w:tcPr>
          <w:p>
            <w:pPr>
              <w:ind w:left="140"/>
              <w:spacing w:after="0" w:line="195" w:lineRule="exact"/>
              <w:rPr>
                <w:sz w:val="20"/>
                <w:szCs w:val="20"/>
                <w:color w:val="auto"/>
              </w:rPr>
            </w:pPr>
            <w:r>
              <w:rPr>
                <w:rFonts w:ascii="Times New Roman" w:cs="Times New Roman" w:eastAsia="Times New Roman" w:hAnsi="Times New Roman"/>
                <w:sz w:val="18"/>
                <w:szCs w:val="18"/>
                <w:color w:val="auto"/>
              </w:rPr>
              <w:t>2013</w:t>
            </w: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740" w:type="dxa"/>
            <w:vAlign w:val="bottom"/>
            <w:tcBorders>
              <w:bottom w:val="single" w:sz="8" w:color="0000FF"/>
            </w:tcBorders>
            <w:gridSpan w:val="30"/>
            <w:shd w:val="clear" w:color="auto" w:fill="CFF0FC"/>
          </w:tcPr>
          <w:p>
            <w:pPr>
              <w:spacing w:after="0" w:line="195" w:lineRule="exact"/>
              <w:rPr>
                <w:rFonts w:ascii="Times New Roman" w:cs="Times New Roman" w:eastAsia="Times New Roman" w:hAnsi="Times New Roman"/>
                <w:sz w:val="18"/>
                <w:szCs w:val="18"/>
                <w:color w:val="0000FF"/>
                <w:w w:val="99"/>
              </w:rPr>
            </w:pPr>
            <w:hyperlink r:id="rId708">
              <w:r>
                <w:rPr>
                  <w:rFonts w:ascii="Times New Roman" w:cs="Times New Roman" w:eastAsia="Times New Roman" w:hAnsi="Times New Roman"/>
                  <w:sz w:val="18"/>
                  <w:szCs w:val="18"/>
                  <w:color w:val="0000FF"/>
                  <w:w w:val="99"/>
                </w:rPr>
                <w:t>North America Inc., Willis Investment UK Holdings Limited, TA I Limited and Willis Group</w:t>
              </w:r>
            </w:hyperlink>
          </w:p>
        </w:tc>
        <w:tc>
          <w:tcPr>
            <w:tcW w:w="12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360" w:type="dxa"/>
            <w:vAlign w:val="bottom"/>
            <w:tcBorders>
              <w:bottom w:val="single" w:sz="8" w:color="0000FF"/>
            </w:tcBorders>
            <w:gridSpan w:val="15"/>
            <w:shd w:val="clear" w:color="auto" w:fill="CFF0FC"/>
          </w:tcPr>
          <w:p>
            <w:pPr>
              <w:spacing w:after="0" w:line="195" w:lineRule="exact"/>
              <w:rPr>
                <w:rFonts w:ascii="Times New Roman" w:cs="Times New Roman" w:eastAsia="Times New Roman" w:hAnsi="Times New Roman"/>
                <w:sz w:val="18"/>
                <w:szCs w:val="18"/>
                <w:color w:val="0000FF"/>
                <w:w w:val="99"/>
              </w:rPr>
            </w:pPr>
            <w:hyperlink r:id="rId708">
              <w:r>
                <w:rPr>
                  <w:rFonts w:ascii="Times New Roman" w:cs="Times New Roman" w:eastAsia="Times New Roman" w:hAnsi="Times New Roman"/>
                  <w:sz w:val="18"/>
                  <w:szCs w:val="18"/>
                  <w:color w:val="0000FF"/>
                  <w:w w:val="99"/>
                </w:rPr>
                <w:t>Limited, as guarantors, and Computershare Trust Company, N.A., as successor to Wells</w:t>
              </w:r>
            </w:hyperlink>
          </w:p>
        </w:tc>
        <w:tc>
          <w:tcPr>
            <w:tcW w:w="500" w:type="dxa"/>
            <w:vAlign w:val="bottom"/>
            <w:tcBorders>
              <w:bottom w:val="single" w:sz="8" w:color="CFF0FC"/>
            </w:tcBorders>
            <w:gridSpan w:val="16"/>
            <w:shd w:val="clear" w:color="auto" w:fill="CFF0FC"/>
          </w:tcPr>
          <w:p>
            <w:pPr>
              <w:spacing w:after="0"/>
              <w:rPr>
                <w:sz w:val="17"/>
                <w:szCs w:val="17"/>
                <w:color w:val="auto"/>
              </w:rPr>
            </w:pPr>
          </w:p>
        </w:tc>
        <w:tc>
          <w:tcPr>
            <w:tcW w:w="5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 w:type="dxa"/>
            <w:vAlign w:val="bottom"/>
            <w:tcBorders>
              <w:right w:val="single" w:sz="8" w:color="CFF0FC"/>
            </w:tcBorders>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220" w:type="dxa"/>
            <w:vAlign w:val="bottom"/>
            <w:tcBorders>
              <w:bottom w:val="single" w:sz="8" w:color="0000FF"/>
            </w:tcBorders>
            <w:gridSpan w:val="7"/>
            <w:shd w:val="clear" w:color="auto" w:fill="CFF0FC"/>
          </w:tcPr>
          <w:p>
            <w:pPr>
              <w:spacing w:after="0" w:line="195" w:lineRule="exact"/>
              <w:rPr>
                <w:rFonts w:ascii="Times New Roman" w:cs="Times New Roman" w:eastAsia="Times New Roman" w:hAnsi="Times New Roman"/>
                <w:sz w:val="18"/>
                <w:szCs w:val="18"/>
                <w:color w:val="0000FF"/>
                <w:w w:val="99"/>
              </w:rPr>
            </w:pPr>
            <w:hyperlink r:id="rId708">
              <w:r>
                <w:rPr>
                  <w:rFonts w:ascii="Times New Roman" w:cs="Times New Roman" w:eastAsia="Times New Roman" w:hAnsi="Times New Roman"/>
                  <w:sz w:val="18"/>
                  <w:szCs w:val="18"/>
                  <w:color w:val="0000FF"/>
                  <w:w w:val="99"/>
                </w:rPr>
                <w:t>Fargo Bank, National Association, as trustee</w:t>
              </w:r>
            </w:hyperlink>
          </w:p>
        </w:tc>
        <w:tc>
          <w:tcPr>
            <w:tcW w:w="3640" w:type="dxa"/>
            <w:vAlign w:val="bottom"/>
            <w:tcBorders>
              <w:bottom w:val="single" w:sz="8" w:color="CFF0FC"/>
            </w:tcBorders>
            <w:gridSpan w:val="24"/>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right w:val="single" w:sz="8" w:color="CFF0FC"/>
            </w:tcBorders>
            <w:shd w:val="clear" w:color="auto" w:fill="CFF0FC"/>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4.3</w:t>
            </w:r>
          </w:p>
        </w:tc>
        <w:tc>
          <w:tcPr>
            <w:tcW w:w="140" w:type="dxa"/>
            <w:vAlign w:val="bottom"/>
          </w:tcPr>
          <w:p>
            <w:pPr>
              <w:spacing w:after="0"/>
              <w:rPr>
                <w:sz w:val="16"/>
                <w:szCs w:val="16"/>
                <w:color w:val="auto"/>
              </w:rPr>
            </w:pPr>
          </w:p>
        </w:tc>
        <w:tc>
          <w:tcPr>
            <w:tcW w:w="6500" w:type="dxa"/>
            <w:vAlign w:val="bottom"/>
            <w:tcBorders>
              <w:bottom w:val="single" w:sz="8" w:color="0000FF"/>
            </w:tcBorders>
            <w:gridSpan w:val="20"/>
          </w:tcPr>
          <w:p>
            <w:pPr>
              <w:spacing w:after="0" w:line="189" w:lineRule="exact"/>
              <w:rPr>
                <w:rFonts w:ascii="Times New Roman" w:cs="Times New Roman" w:eastAsia="Times New Roman" w:hAnsi="Times New Roman"/>
                <w:sz w:val="18"/>
                <w:szCs w:val="18"/>
                <w:color w:val="0000FF"/>
              </w:rPr>
            </w:pPr>
            <w:hyperlink r:id="rId709">
              <w:r>
                <w:rPr>
                  <w:rFonts w:ascii="Times New Roman" w:cs="Times New Roman" w:eastAsia="Times New Roman" w:hAnsi="Times New Roman"/>
                  <w:sz w:val="18"/>
                  <w:szCs w:val="18"/>
                  <w:color w:val="0000FF"/>
                </w:rPr>
                <w:t>First Supplemental Indenture, dated as of August 15, 2013, supplemental to the Indenture</w:t>
              </w:r>
            </w:hyperlink>
          </w:p>
        </w:tc>
        <w:tc>
          <w:tcPr>
            <w:tcW w:w="360" w:type="dxa"/>
            <w:vAlign w:val="bottom"/>
            <w:gridSpan w:val="11"/>
          </w:tcPr>
          <w:p>
            <w:pPr>
              <w:spacing w:after="0"/>
              <w:rPr>
                <w:sz w:val="16"/>
                <w:szCs w:val="16"/>
                <w:color w:val="auto"/>
              </w:rPr>
            </w:pPr>
          </w:p>
        </w:tc>
        <w:tc>
          <w:tcPr>
            <w:tcW w:w="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gridSpan w:val="2"/>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7"/>
              </w:rPr>
              <w:t>4.2</w:t>
            </w:r>
          </w:p>
        </w:tc>
        <w:tc>
          <w:tcPr>
            <w:tcW w:w="1220" w:type="dxa"/>
            <w:vAlign w:val="bottom"/>
            <w:gridSpan w:val="3"/>
          </w:tcPr>
          <w:p>
            <w:pPr>
              <w:ind w:left="140"/>
              <w:spacing w:after="0" w:line="189" w:lineRule="exact"/>
              <w:rPr>
                <w:sz w:val="20"/>
                <w:szCs w:val="20"/>
                <w:color w:val="auto"/>
              </w:rPr>
            </w:pPr>
            <w:r>
              <w:rPr>
                <w:rFonts w:ascii="Times New Roman" w:cs="Times New Roman" w:eastAsia="Times New Roman" w:hAnsi="Times New Roman"/>
                <w:sz w:val="18"/>
                <w:szCs w:val="18"/>
                <w:color w:val="auto"/>
              </w:rPr>
              <w:t>August 15,</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60" w:type="dxa"/>
            <w:vAlign w:val="bottom"/>
            <w:gridSpan w:val="31"/>
          </w:tcPr>
          <w:p>
            <w:pPr>
              <w:spacing w:after="0" w:line="195" w:lineRule="exact"/>
              <w:rPr>
                <w:rFonts w:ascii="Times New Roman" w:cs="Times New Roman" w:eastAsia="Times New Roman" w:hAnsi="Times New Roman"/>
                <w:sz w:val="18"/>
                <w:szCs w:val="18"/>
                <w:color w:val="0000FF"/>
              </w:rPr>
            </w:pPr>
            <w:hyperlink r:id="rId709">
              <w:r>
                <w:rPr>
                  <w:rFonts w:ascii="Times New Roman" w:cs="Times New Roman" w:eastAsia="Times New Roman" w:hAnsi="Times New Roman"/>
                  <w:sz w:val="18"/>
                  <w:szCs w:val="18"/>
                  <w:color w:val="0000FF"/>
                </w:rPr>
                <w:t>dated as of August 15, 2013</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gridSpan w:val="2"/>
          </w:tcPr>
          <w:p>
            <w:pPr>
              <w:ind w:left="140"/>
              <w:spacing w:after="0" w:line="195" w:lineRule="exact"/>
              <w:rPr>
                <w:sz w:val="20"/>
                <w:szCs w:val="20"/>
                <w:color w:val="auto"/>
              </w:rPr>
            </w:pPr>
            <w:r>
              <w:rPr>
                <w:rFonts w:ascii="Times New Roman" w:cs="Times New Roman" w:eastAsia="Times New Roman" w:hAnsi="Times New Roman"/>
                <w:sz w:val="18"/>
                <w:szCs w:val="18"/>
                <w:color w:val="auto"/>
              </w:rPr>
              <w:t>2013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Borders>
              <w:right w:val="single" w:sz="8" w:color="CFF0FC"/>
            </w:tcBorders>
          </w:tcPr>
          <w:p>
            <w:pPr>
              <w:spacing w:after="0"/>
              <w:rPr>
                <w:sz w:val="16"/>
                <w:szCs w:val="16"/>
                <w:color w:val="auto"/>
              </w:rPr>
            </w:pPr>
          </w:p>
        </w:tc>
        <w:tc>
          <w:tcPr>
            <w:tcW w:w="6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4.4</w:t>
            </w:r>
          </w:p>
        </w:tc>
        <w:tc>
          <w:tcPr>
            <w:tcW w:w="140" w:type="dxa"/>
            <w:vAlign w:val="bottom"/>
            <w:tcBorders>
              <w:bottom w:val="single" w:sz="8" w:color="CFF0FC"/>
            </w:tcBorders>
            <w:shd w:val="clear" w:color="auto" w:fill="CFF0FC"/>
          </w:tcPr>
          <w:p>
            <w:pPr>
              <w:spacing w:after="0"/>
              <w:rPr>
                <w:sz w:val="16"/>
                <w:szCs w:val="16"/>
                <w:color w:val="auto"/>
              </w:rPr>
            </w:pPr>
          </w:p>
        </w:tc>
        <w:tc>
          <w:tcPr>
            <w:tcW w:w="6600" w:type="dxa"/>
            <w:vAlign w:val="bottom"/>
            <w:tcBorders>
              <w:bottom w:val="single" w:sz="8" w:color="0000FF"/>
            </w:tcBorders>
            <w:gridSpan w:val="24"/>
            <w:shd w:val="clear" w:color="auto" w:fill="CFF0FC"/>
          </w:tcPr>
          <w:p>
            <w:pPr>
              <w:spacing w:after="0" w:line="189" w:lineRule="exact"/>
              <w:rPr>
                <w:rFonts w:ascii="Times New Roman" w:cs="Times New Roman" w:eastAsia="Times New Roman" w:hAnsi="Times New Roman"/>
                <w:sz w:val="18"/>
                <w:szCs w:val="18"/>
                <w:color w:val="0000FF"/>
              </w:rPr>
            </w:pPr>
            <w:hyperlink r:id="rId710">
              <w:r>
                <w:rPr>
                  <w:rFonts w:ascii="Times New Roman" w:cs="Times New Roman" w:eastAsia="Times New Roman" w:hAnsi="Times New Roman"/>
                  <w:sz w:val="18"/>
                  <w:szCs w:val="18"/>
                  <w:color w:val="0000FF"/>
                </w:rPr>
                <w:t>Second Supplemental Indenture, dated as of March 9, 2016, supplemental to the Indenture,</w:t>
              </w:r>
            </w:hyperlink>
          </w:p>
        </w:tc>
        <w:tc>
          <w:tcPr>
            <w:tcW w:w="260" w:type="dxa"/>
            <w:vAlign w:val="bottom"/>
            <w:tcBorders>
              <w:bottom w:val="single" w:sz="8" w:color="CFF0FC"/>
            </w:tcBorders>
            <w:gridSpan w:val="7"/>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tcBorders>
              <w:bottom w:val="single" w:sz="8" w:color="CFF0FC"/>
            </w:tcBorders>
            <w:gridSpan w:val="2"/>
            <w:shd w:val="clear" w:color="auto" w:fill="CFF0FC"/>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7"/>
              </w:rPr>
              <w:t>4.3</w:t>
            </w:r>
          </w:p>
        </w:tc>
        <w:tc>
          <w:tcPr>
            <w:tcW w:w="1220" w:type="dxa"/>
            <w:vAlign w:val="bottom"/>
            <w:tcBorders>
              <w:bottom w:val="single" w:sz="8" w:color="CFF0FC"/>
            </w:tcBorders>
            <w:gridSpan w:val="3"/>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March 10,</w:t>
            </w:r>
          </w:p>
        </w:tc>
        <w:tc>
          <w:tcPr>
            <w:tcW w:w="12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right w:val="single" w:sz="8" w:color="CFF0FC"/>
            </w:tcBorders>
            <w:shd w:val="clear" w:color="auto" w:fill="CFF0FC"/>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60" w:type="dxa"/>
            <w:vAlign w:val="bottom"/>
            <w:gridSpan w:val="31"/>
            <w:shd w:val="clear" w:color="auto" w:fill="CFF0FC"/>
          </w:tcPr>
          <w:p>
            <w:pPr>
              <w:spacing w:after="0" w:line="195" w:lineRule="exact"/>
              <w:rPr>
                <w:rFonts w:ascii="Times New Roman" w:cs="Times New Roman" w:eastAsia="Times New Roman" w:hAnsi="Times New Roman"/>
                <w:sz w:val="18"/>
                <w:szCs w:val="18"/>
                <w:color w:val="0000FF"/>
              </w:rPr>
            </w:pPr>
            <w:hyperlink r:id="rId710">
              <w:r>
                <w:rPr>
                  <w:rFonts w:ascii="Times New Roman" w:cs="Times New Roman" w:eastAsia="Times New Roman" w:hAnsi="Times New Roman"/>
                  <w:sz w:val="18"/>
                  <w:szCs w:val="18"/>
                  <w:color w:val="0000FF"/>
                </w:rPr>
                <w:t>dated as of August 15, 2013</w:t>
              </w:r>
            </w:hyperlink>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ind w:left="140"/>
              <w:spacing w:after="0" w:line="195" w:lineRule="exact"/>
              <w:rPr>
                <w:sz w:val="20"/>
                <w:szCs w:val="20"/>
                <w:color w:val="auto"/>
              </w:rPr>
            </w:pPr>
            <w:r>
              <w:rPr>
                <w:rFonts w:ascii="Times New Roman" w:cs="Times New Roman" w:eastAsia="Times New Roman" w:hAnsi="Times New Roman"/>
                <w:sz w:val="18"/>
                <w:szCs w:val="18"/>
                <w:color w:val="auto"/>
              </w:rPr>
              <w:t>2016</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tcBorders>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Borders>
              <w:right w:val="single" w:sz="8" w:color="CFF0FC"/>
            </w:tcBorders>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0000FF"/>
            </w:tcBorders>
            <w:shd w:val="clear" w:color="auto" w:fill="CFF0FC"/>
          </w:tcPr>
          <w:p>
            <w:pPr>
              <w:spacing w:after="0"/>
              <w:rPr>
                <w:sz w:val="2"/>
                <w:szCs w:val="2"/>
                <w:color w:val="auto"/>
              </w:rPr>
            </w:pPr>
          </w:p>
        </w:tc>
        <w:tc>
          <w:tcPr>
            <w:tcW w:w="400" w:type="dxa"/>
            <w:vAlign w:val="bottom"/>
            <w:tcBorders>
              <w:top w:val="single" w:sz="8" w:color="0000FF"/>
            </w:tcBorders>
            <w:shd w:val="clear" w:color="auto" w:fill="CFF0FC"/>
          </w:tcPr>
          <w:p>
            <w:pPr>
              <w:spacing w:after="0"/>
              <w:rPr>
                <w:sz w:val="2"/>
                <w:szCs w:val="2"/>
                <w:color w:val="auto"/>
              </w:rPr>
            </w:pPr>
          </w:p>
        </w:tc>
        <w:tc>
          <w:tcPr>
            <w:tcW w:w="44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660" w:type="dxa"/>
            <w:vAlign w:val="bottom"/>
            <w:tcBorders>
              <w:top w:val="single" w:sz="8" w:color="CFF0FC"/>
            </w:tcBorders>
            <w:shd w:val="clear" w:color="auto" w:fill="CFF0FC"/>
          </w:tcPr>
          <w:p>
            <w:pPr>
              <w:spacing w:after="0"/>
              <w:rPr>
                <w:sz w:val="2"/>
                <w:szCs w:val="2"/>
                <w:color w:val="auto"/>
              </w:rPr>
            </w:pPr>
          </w:p>
        </w:tc>
        <w:tc>
          <w:tcPr>
            <w:tcW w:w="1340" w:type="dxa"/>
            <w:vAlign w:val="bottom"/>
            <w:tcBorders>
              <w:top w:val="single" w:sz="8" w:color="CFF0FC"/>
              <w:right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140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0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660" w:type="dxa"/>
            <w:vAlign w:val="bottom"/>
            <w:tcBorders>
              <w:top w:val="single" w:sz="8" w:color="CFF0FC"/>
              <w:right w:val="single" w:sz="8" w:color="CFF0FC"/>
            </w:tcBorders>
            <w:shd w:val="clear" w:color="auto" w:fill="CFF0FC"/>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4.5</w:t>
            </w:r>
          </w:p>
        </w:tc>
        <w:tc>
          <w:tcPr>
            <w:tcW w:w="140" w:type="dxa"/>
            <w:vAlign w:val="bottom"/>
          </w:tcPr>
          <w:p>
            <w:pPr>
              <w:spacing w:after="0"/>
              <w:rPr>
                <w:sz w:val="16"/>
                <w:szCs w:val="16"/>
                <w:color w:val="auto"/>
              </w:rPr>
            </w:pPr>
          </w:p>
        </w:tc>
        <w:tc>
          <w:tcPr>
            <w:tcW w:w="6540" w:type="dxa"/>
            <w:vAlign w:val="bottom"/>
            <w:tcBorders>
              <w:bottom w:val="single" w:sz="8" w:color="0000FF"/>
            </w:tcBorders>
            <w:gridSpan w:val="21"/>
          </w:tcPr>
          <w:p>
            <w:pPr>
              <w:spacing w:after="0" w:line="189" w:lineRule="exact"/>
              <w:rPr>
                <w:rFonts w:ascii="Times New Roman" w:cs="Times New Roman" w:eastAsia="Times New Roman" w:hAnsi="Times New Roman"/>
                <w:sz w:val="18"/>
                <w:szCs w:val="18"/>
                <w:color w:val="0000FF"/>
              </w:rPr>
            </w:pPr>
            <w:hyperlink r:id="rId711">
              <w:r>
                <w:rPr>
                  <w:rFonts w:ascii="Times New Roman" w:cs="Times New Roman" w:eastAsia="Times New Roman" w:hAnsi="Times New Roman"/>
                  <w:sz w:val="18"/>
                  <w:szCs w:val="18"/>
                  <w:color w:val="0000FF"/>
                </w:rPr>
                <w:t>Third Supplemental Indenture, dated as of March 22, 2016, supplemental to the Indenture,</w:t>
              </w:r>
            </w:hyperlink>
          </w:p>
        </w:tc>
        <w:tc>
          <w:tcPr>
            <w:tcW w:w="320" w:type="dxa"/>
            <w:vAlign w:val="bottom"/>
            <w:gridSpan w:val="10"/>
          </w:tcPr>
          <w:p>
            <w:pPr>
              <w:spacing w:after="0"/>
              <w:rPr>
                <w:sz w:val="16"/>
                <w:szCs w:val="16"/>
                <w:color w:val="auto"/>
              </w:rPr>
            </w:pPr>
          </w:p>
        </w:tc>
        <w:tc>
          <w:tcPr>
            <w:tcW w:w="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gridSpan w:val="2"/>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7"/>
              </w:rPr>
              <w:t>4.1</w:t>
            </w:r>
          </w:p>
        </w:tc>
        <w:tc>
          <w:tcPr>
            <w:tcW w:w="1220" w:type="dxa"/>
            <w:vAlign w:val="bottom"/>
            <w:gridSpan w:val="3"/>
          </w:tcPr>
          <w:p>
            <w:pPr>
              <w:ind w:left="140"/>
              <w:spacing w:after="0" w:line="189" w:lineRule="exact"/>
              <w:rPr>
                <w:sz w:val="20"/>
                <w:szCs w:val="20"/>
                <w:color w:val="auto"/>
              </w:rPr>
            </w:pPr>
            <w:r>
              <w:rPr>
                <w:rFonts w:ascii="Times New Roman" w:cs="Times New Roman" w:eastAsia="Times New Roman" w:hAnsi="Times New Roman"/>
                <w:sz w:val="18"/>
                <w:szCs w:val="18"/>
                <w:color w:val="auto"/>
              </w:rPr>
              <w:t>March 22,</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60" w:type="dxa"/>
            <w:vAlign w:val="bottom"/>
            <w:gridSpan w:val="31"/>
          </w:tcPr>
          <w:p>
            <w:pPr>
              <w:spacing w:after="0" w:line="195" w:lineRule="exact"/>
              <w:rPr>
                <w:rFonts w:ascii="Times New Roman" w:cs="Times New Roman" w:eastAsia="Times New Roman" w:hAnsi="Times New Roman"/>
                <w:sz w:val="18"/>
                <w:szCs w:val="18"/>
                <w:color w:val="0000FF"/>
              </w:rPr>
            </w:pPr>
            <w:hyperlink r:id="rId711">
              <w:r>
                <w:rPr>
                  <w:rFonts w:ascii="Times New Roman" w:cs="Times New Roman" w:eastAsia="Times New Roman" w:hAnsi="Times New Roman"/>
                  <w:sz w:val="18"/>
                  <w:szCs w:val="18"/>
                  <w:color w:val="0000FF"/>
                </w:rPr>
                <w:t>dated as of August 15, 2013</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gridSpan w:val="2"/>
          </w:tcPr>
          <w:p>
            <w:pPr>
              <w:ind w:left="140"/>
              <w:spacing w:after="0" w:line="195" w:lineRule="exact"/>
              <w:rPr>
                <w:sz w:val="20"/>
                <w:szCs w:val="20"/>
                <w:color w:val="auto"/>
              </w:rPr>
            </w:pPr>
            <w:r>
              <w:rPr>
                <w:rFonts w:ascii="Times New Roman" w:cs="Times New Roman" w:eastAsia="Times New Roman" w:hAnsi="Times New Roman"/>
                <w:sz w:val="18"/>
                <w:szCs w:val="18"/>
                <w:color w:val="auto"/>
              </w:rPr>
              <w:t>2016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Borders>
              <w:right w:val="single" w:sz="8" w:color="CFF0FC"/>
            </w:tcBorders>
          </w:tcPr>
          <w:p>
            <w:pPr>
              <w:spacing w:after="0"/>
              <w:rPr>
                <w:sz w:val="16"/>
                <w:szCs w:val="16"/>
                <w:color w:val="auto"/>
              </w:rPr>
            </w:pPr>
          </w:p>
        </w:tc>
        <w:tc>
          <w:tcPr>
            <w:tcW w:w="6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4.6</w:t>
            </w:r>
          </w:p>
        </w:tc>
        <w:tc>
          <w:tcPr>
            <w:tcW w:w="140" w:type="dxa"/>
            <w:vAlign w:val="bottom"/>
            <w:tcBorders>
              <w:bottom w:val="single" w:sz="8" w:color="CFF0FC"/>
            </w:tcBorders>
            <w:shd w:val="clear" w:color="auto" w:fill="CFF0FC"/>
          </w:tcPr>
          <w:p>
            <w:pPr>
              <w:spacing w:after="0"/>
              <w:rPr>
                <w:sz w:val="16"/>
                <w:szCs w:val="16"/>
                <w:color w:val="auto"/>
              </w:rPr>
            </w:pPr>
          </w:p>
        </w:tc>
        <w:tc>
          <w:tcPr>
            <w:tcW w:w="6500" w:type="dxa"/>
            <w:vAlign w:val="bottom"/>
            <w:tcBorders>
              <w:bottom w:val="single" w:sz="8" w:color="0000FF"/>
            </w:tcBorders>
            <w:gridSpan w:val="20"/>
            <w:shd w:val="clear" w:color="auto" w:fill="CFF0FC"/>
          </w:tcPr>
          <w:p>
            <w:pPr>
              <w:spacing w:after="0" w:line="189" w:lineRule="exact"/>
              <w:rPr>
                <w:rFonts w:ascii="Times New Roman" w:cs="Times New Roman" w:eastAsia="Times New Roman" w:hAnsi="Times New Roman"/>
                <w:sz w:val="18"/>
                <w:szCs w:val="18"/>
                <w:color w:val="0000FF"/>
              </w:rPr>
            </w:pPr>
            <w:hyperlink r:id="rId712">
              <w:r>
                <w:rPr>
                  <w:rFonts w:ascii="Times New Roman" w:cs="Times New Roman" w:eastAsia="Times New Roman" w:hAnsi="Times New Roman"/>
                  <w:sz w:val="18"/>
                  <w:szCs w:val="18"/>
                  <w:color w:val="0000FF"/>
                </w:rPr>
                <w:t>Fifth Supplemental Indenture, dated as of August 11, 2017, supplemental to the Indenture</w:t>
              </w:r>
            </w:hyperlink>
          </w:p>
        </w:tc>
        <w:tc>
          <w:tcPr>
            <w:tcW w:w="360" w:type="dxa"/>
            <w:vAlign w:val="bottom"/>
            <w:tcBorders>
              <w:bottom w:val="single" w:sz="8" w:color="CFF0FC"/>
            </w:tcBorders>
            <w:gridSpan w:val="11"/>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tcBorders>
              <w:bottom w:val="single" w:sz="8" w:color="CFF0FC"/>
            </w:tcBorders>
            <w:gridSpan w:val="2"/>
            <w:shd w:val="clear" w:color="auto" w:fill="CFF0FC"/>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7"/>
              </w:rPr>
              <w:t>4.3</w:t>
            </w:r>
          </w:p>
        </w:tc>
        <w:tc>
          <w:tcPr>
            <w:tcW w:w="1220" w:type="dxa"/>
            <w:vAlign w:val="bottom"/>
            <w:tcBorders>
              <w:bottom w:val="single" w:sz="8" w:color="CFF0FC"/>
            </w:tcBorders>
            <w:gridSpan w:val="3"/>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August 16,</w:t>
            </w:r>
          </w:p>
        </w:tc>
        <w:tc>
          <w:tcPr>
            <w:tcW w:w="12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right w:val="single" w:sz="8" w:color="CFF0FC"/>
            </w:tcBorders>
            <w:shd w:val="clear" w:color="auto" w:fill="CFF0FC"/>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60" w:type="dxa"/>
            <w:vAlign w:val="bottom"/>
            <w:gridSpan w:val="31"/>
            <w:shd w:val="clear" w:color="auto" w:fill="CFF0FC"/>
          </w:tcPr>
          <w:p>
            <w:pPr>
              <w:spacing w:after="0" w:line="195" w:lineRule="exact"/>
              <w:rPr>
                <w:rFonts w:ascii="Times New Roman" w:cs="Times New Roman" w:eastAsia="Times New Roman" w:hAnsi="Times New Roman"/>
                <w:sz w:val="18"/>
                <w:szCs w:val="18"/>
                <w:color w:val="0000FF"/>
              </w:rPr>
            </w:pPr>
            <w:hyperlink r:id="rId712">
              <w:r>
                <w:rPr>
                  <w:rFonts w:ascii="Times New Roman" w:cs="Times New Roman" w:eastAsia="Times New Roman" w:hAnsi="Times New Roman"/>
                  <w:sz w:val="18"/>
                  <w:szCs w:val="18"/>
                  <w:color w:val="0000FF"/>
                </w:rPr>
                <w:t>dated as of August 15, 2013</w:t>
              </w:r>
            </w:hyperlink>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ind w:left="140"/>
              <w:spacing w:after="0" w:line="195" w:lineRule="exact"/>
              <w:rPr>
                <w:sz w:val="20"/>
                <w:szCs w:val="20"/>
                <w:color w:val="auto"/>
              </w:rPr>
            </w:pPr>
            <w:r>
              <w:rPr>
                <w:rFonts w:ascii="Times New Roman" w:cs="Times New Roman" w:eastAsia="Times New Roman" w:hAnsi="Times New Roman"/>
                <w:sz w:val="18"/>
                <w:szCs w:val="18"/>
                <w:color w:val="auto"/>
              </w:rPr>
              <w:t>2017</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tcBorders>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Borders>
              <w:right w:val="single" w:sz="8" w:color="CFF0FC"/>
            </w:tcBorders>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0000FF"/>
            </w:tcBorders>
            <w:shd w:val="clear" w:color="auto" w:fill="CFF0FC"/>
          </w:tcPr>
          <w:p>
            <w:pPr>
              <w:spacing w:after="0"/>
              <w:rPr>
                <w:sz w:val="2"/>
                <w:szCs w:val="2"/>
                <w:color w:val="auto"/>
              </w:rPr>
            </w:pPr>
          </w:p>
        </w:tc>
        <w:tc>
          <w:tcPr>
            <w:tcW w:w="400" w:type="dxa"/>
            <w:vAlign w:val="bottom"/>
            <w:tcBorders>
              <w:top w:val="single" w:sz="8" w:color="0000FF"/>
            </w:tcBorders>
            <w:shd w:val="clear" w:color="auto" w:fill="CFF0FC"/>
          </w:tcPr>
          <w:p>
            <w:pPr>
              <w:spacing w:after="0"/>
              <w:rPr>
                <w:sz w:val="2"/>
                <w:szCs w:val="2"/>
                <w:color w:val="auto"/>
              </w:rPr>
            </w:pPr>
          </w:p>
        </w:tc>
        <w:tc>
          <w:tcPr>
            <w:tcW w:w="44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660" w:type="dxa"/>
            <w:vAlign w:val="bottom"/>
            <w:tcBorders>
              <w:top w:val="single" w:sz="8" w:color="CFF0FC"/>
            </w:tcBorders>
            <w:shd w:val="clear" w:color="auto" w:fill="CFF0FC"/>
          </w:tcPr>
          <w:p>
            <w:pPr>
              <w:spacing w:after="0"/>
              <w:rPr>
                <w:sz w:val="2"/>
                <w:szCs w:val="2"/>
                <w:color w:val="auto"/>
              </w:rPr>
            </w:pPr>
          </w:p>
        </w:tc>
        <w:tc>
          <w:tcPr>
            <w:tcW w:w="1340" w:type="dxa"/>
            <w:vAlign w:val="bottom"/>
            <w:tcBorders>
              <w:top w:val="single" w:sz="8" w:color="CFF0FC"/>
              <w:right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140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0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660" w:type="dxa"/>
            <w:vAlign w:val="bottom"/>
            <w:tcBorders>
              <w:top w:val="single" w:sz="8" w:color="CFF0FC"/>
              <w:right w:val="single" w:sz="8" w:color="CFF0FC"/>
            </w:tcBorders>
            <w:shd w:val="clear" w:color="auto" w:fill="CFF0FC"/>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4.7</w:t>
            </w:r>
          </w:p>
        </w:tc>
        <w:tc>
          <w:tcPr>
            <w:tcW w:w="140" w:type="dxa"/>
            <w:vAlign w:val="bottom"/>
          </w:tcPr>
          <w:p>
            <w:pPr>
              <w:spacing w:after="0"/>
              <w:rPr>
                <w:sz w:val="16"/>
                <w:szCs w:val="16"/>
                <w:color w:val="auto"/>
              </w:rPr>
            </w:pPr>
          </w:p>
        </w:tc>
        <w:tc>
          <w:tcPr>
            <w:tcW w:w="6380" w:type="dxa"/>
            <w:vAlign w:val="bottom"/>
            <w:tcBorders>
              <w:bottom w:val="single" w:sz="8" w:color="0000FF"/>
            </w:tcBorders>
            <w:gridSpan w:val="16"/>
          </w:tcPr>
          <w:p>
            <w:pPr>
              <w:spacing w:after="0" w:line="189" w:lineRule="exact"/>
              <w:rPr>
                <w:rFonts w:ascii="Times New Roman" w:cs="Times New Roman" w:eastAsia="Times New Roman" w:hAnsi="Times New Roman"/>
                <w:sz w:val="18"/>
                <w:szCs w:val="18"/>
                <w:color w:val="0000FF"/>
              </w:rPr>
            </w:pPr>
            <w:hyperlink r:id="rId713">
              <w:r>
                <w:rPr>
                  <w:rFonts w:ascii="Times New Roman" w:cs="Times New Roman" w:eastAsia="Times New Roman" w:hAnsi="Times New Roman"/>
                  <w:sz w:val="18"/>
                  <w:szCs w:val="18"/>
                  <w:color w:val="0000FF"/>
                </w:rPr>
                <w:t>Indenture, dated as of May 16, 2017, among Willis North America Inc., as issuer, Willis</w:t>
              </w:r>
            </w:hyperlink>
          </w:p>
        </w:tc>
        <w:tc>
          <w:tcPr>
            <w:tcW w:w="480" w:type="dxa"/>
            <w:vAlign w:val="bottom"/>
            <w:gridSpan w:val="15"/>
          </w:tcPr>
          <w:p>
            <w:pPr>
              <w:spacing w:after="0"/>
              <w:rPr>
                <w:sz w:val="16"/>
                <w:szCs w:val="16"/>
                <w:color w:val="auto"/>
              </w:rPr>
            </w:pPr>
          </w:p>
        </w:tc>
        <w:tc>
          <w:tcPr>
            <w:tcW w:w="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gridSpan w:val="2"/>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7"/>
              </w:rPr>
              <w:t>4.1</w:t>
            </w:r>
          </w:p>
        </w:tc>
        <w:tc>
          <w:tcPr>
            <w:tcW w:w="1220" w:type="dxa"/>
            <w:vAlign w:val="bottom"/>
            <w:gridSpan w:val="3"/>
          </w:tcPr>
          <w:p>
            <w:pPr>
              <w:ind w:left="140"/>
              <w:spacing w:after="0" w:line="189" w:lineRule="exact"/>
              <w:rPr>
                <w:sz w:val="20"/>
                <w:szCs w:val="20"/>
                <w:color w:val="auto"/>
              </w:rPr>
            </w:pPr>
            <w:r>
              <w:rPr>
                <w:rFonts w:ascii="Times New Roman" w:cs="Times New Roman" w:eastAsia="Times New Roman" w:hAnsi="Times New Roman"/>
                <w:sz w:val="18"/>
                <w:szCs w:val="18"/>
                <w:color w:val="auto"/>
              </w:rPr>
              <w:t>May 16, 2017</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80" w:type="dxa"/>
            <w:vAlign w:val="bottom"/>
            <w:tcBorders>
              <w:bottom w:val="single" w:sz="8" w:color="0000FF"/>
            </w:tcBorders>
            <w:gridSpan w:val="19"/>
          </w:tcPr>
          <w:p>
            <w:pPr>
              <w:spacing w:after="0" w:line="195" w:lineRule="exact"/>
              <w:rPr>
                <w:rFonts w:ascii="Times New Roman" w:cs="Times New Roman" w:eastAsia="Times New Roman" w:hAnsi="Times New Roman"/>
                <w:sz w:val="18"/>
                <w:szCs w:val="18"/>
                <w:color w:val="0000FF"/>
                <w:w w:val="99"/>
              </w:rPr>
            </w:pPr>
            <w:hyperlink r:id="rId713">
              <w:r>
                <w:rPr>
                  <w:rFonts w:ascii="Times New Roman" w:cs="Times New Roman" w:eastAsia="Times New Roman" w:hAnsi="Times New Roman"/>
                  <w:sz w:val="18"/>
                  <w:szCs w:val="18"/>
                  <w:color w:val="0000FF"/>
                  <w:w w:val="99"/>
                </w:rPr>
                <w:t>Towers Watson Public Limited Company, Willis Towers Watson Sub Holdings Unlimited</w:t>
              </w:r>
            </w:hyperlink>
          </w:p>
        </w:tc>
        <w:tc>
          <w:tcPr>
            <w:tcW w:w="380" w:type="dxa"/>
            <w:vAlign w:val="bottom"/>
            <w:gridSpan w:val="12"/>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40" w:type="dxa"/>
            <w:vAlign w:val="bottom"/>
            <w:tcBorders>
              <w:bottom w:val="single" w:sz="8" w:color="0000FF"/>
            </w:tcBorders>
            <w:gridSpan w:val="26"/>
          </w:tcPr>
          <w:p>
            <w:pPr>
              <w:spacing w:after="0" w:line="195" w:lineRule="exact"/>
              <w:rPr>
                <w:rFonts w:ascii="Times New Roman" w:cs="Times New Roman" w:eastAsia="Times New Roman" w:hAnsi="Times New Roman"/>
                <w:sz w:val="18"/>
                <w:szCs w:val="18"/>
                <w:color w:val="0000FF"/>
                <w:w w:val="99"/>
              </w:rPr>
            </w:pPr>
            <w:hyperlink r:id="rId713">
              <w:r>
                <w:rPr>
                  <w:rFonts w:ascii="Times New Roman" w:cs="Times New Roman" w:eastAsia="Times New Roman" w:hAnsi="Times New Roman"/>
                  <w:sz w:val="18"/>
                  <w:szCs w:val="18"/>
                  <w:color w:val="0000FF"/>
                  <w:w w:val="99"/>
                </w:rPr>
                <w:t>Company, Willis Netherlands Holdings B.V., Willis Investment UK Holdings Limited, TA I</w:t>
              </w:r>
            </w:hyperlink>
          </w:p>
        </w:tc>
        <w:tc>
          <w:tcPr>
            <w:tcW w:w="220" w:type="dxa"/>
            <w:vAlign w:val="bottom"/>
            <w:gridSpan w:val="5"/>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80" w:type="dxa"/>
            <w:vAlign w:val="bottom"/>
            <w:tcBorders>
              <w:bottom w:val="single" w:sz="8" w:color="0000FF"/>
            </w:tcBorders>
            <w:gridSpan w:val="23"/>
          </w:tcPr>
          <w:p>
            <w:pPr>
              <w:spacing w:after="0" w:line="195" w:lineRule="exact"/>
              <w:rPr>
                <w:rFonts w:ascii="Times New Roman" w:cs="Times New Roman" w:eastAsia="Times New Roman" w:hAnsi="Times New Roman"/>
                <w:sz w:val="18"/>
                <w:szCs w:val="18"/>
                <w:color w:val="0000FF"/>
              </w:rPr>
            </w:pPr>
            <w:hyperlink r:id="rId713">
              <w:r>
                <w:rPr>
                  <w:rFonts w:ascii="Times New Roman" w:cs="Times New Roman" w:eastAsia="Times New Roman" w:hAnsi="Times New Roman"/>
                  <w:sz w:val="18"/>
                  <w:szCs w:val="18"/>
                  <w:color w:val="0000FF"/>
                </w:rPr>
                <w:t>Limited, WTW Bermuda Holdings Ltd., Trinity Acquisition plc and Willis Group Limited,</w:t>
              </w:r>
            </w:hyperlink>
          </w:p>
        </w:tc>
        <w:tc>
          <w:tcPr>
            <w:tcW w:w="280" w:type="dxa"/>
            <w:vAlign w:val="bottom"/>
            <w:gridSpan w:val="8"/>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20" w:type="dxa"/>
            <w:vAlign w:val="bottom"/>
            <w:tcBorders>
              <w:bottom w:val="single" w:sz="8" w:color="0000FF"/>
            </w:tcBorders>
            <w:gridSpan w:val="25"/>
          </w:tcPr>
          <w:p>
            <w:pPr>
              <w:spacing w:after="0" w:line="195" w:lineRule="exact"/>
              <w:rPr>
                <w:rFonts w:ascii="Times New Roman" w:cs="Times New Roman" w:eastAsia="Times New Roman" w:hAnsi="Times New Roman"/>
                <w:sz w:val="18"/>
                <w:szCs w:val="18"/>
                <w:color w:val="0000FF"/>
                <w:w w:val="99"/>
              </w:rPr>
            </w:pPr>
            <w:hyperlink r:id="rId713">
              <w:r>
                <w:rPr>
                  <w:rFonts w:ascii="Times New Roman" w:cs="Times New Roman" w:eastAsia="Times New Roman" w:hAnsi="Times New Roman"/>
                  <w:sz w:val="18"/>
                  <w:szCs w:val="18"/>
                  <w:color w:val="0000FF"/>
                  <w:w w:val="99"/>
                </w:rPr>
                <w:t>as guarantors, and Computershare Trust Company, N.A., as successor to Wells Fargo Bank,</w:t>
              </w:r>
            </w:hyperlink>
          </w:p>
        </w:tc>
        <w:tc>
          <w:tcPr>
            <w:tcW w:w="240" w:type="dxa"/>
            <w:vAlign w:val="bottom"/>
            <w:gridSpan w:val="6"/>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60" w:type="dxa"/>
            <w:vAlign w:val="bottom"/>
            <w:gridSpan w:val="31"/>
          </w:tcPr>
          <w:p>
            <w:pPr>
              <w:spacing w:after="0" w:line="195" w:lineRule="exact"/>
              <w:rPr>
                <w:rFonts w:ascii="Times New Roman" w:cs="Times New Roman" w:eastAsia="Times New Roman" w:hAnsi="Times New Roman"/>
                <w:sz w:val="18"/>
                <w:szCs w:val="18"/>
                <w:color w:val="0000FF"/>
              </w:rPr>
            </w:pPr>
            <w:hyperlink r:id="rId713">
              <w:r>
                <w:rPr>
                  <w:rFonts w:ascii="Times New Roman" w:cs="Times New Roman" w:eastAsia="Times New Roman" w:hAnsi="Times New Roman"/>
                  <w:sz w:val="18"/>
                  <w:szCs w:val="18"/>
                  <w:color w:val="0000FF"/>
                </w:rPr>
                <w:t>National Association, as Trustee</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Borders>
              <w:right w:val="single" w:sz="8" w:color="CFF0FC"/>
            </w:tcBorders>
          </w:tcPr>
          <w:p>
            <w:pPr>
              <w:spacing w:after="0"/>
              <w:rPr>
                <w:sz w:val="16"/>
                <w:szCs w:val="16"/>
                <w:color w:val="auto"/>
              </w:rPr>
            </w:pPr>
          </w:p>
        </w:tc>
        <w:tc>
          <w:tcPr>
            <w:tcW w:w="6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4.8</w:t>
            </w:r>
          </w:p>
        </w:tc>
        <w:tc>
          <w:tcPr>
            <w:tcW w:w="140" w:type="dxa"/>
            <w:vAlign w:val="bottom"/>
            <w:tcBorders>
              <w:bottom w:val="single" w:sz="8" w:color="CFF0FC"/>
            </w:tcBorders>
            <w:shd w:val="clear" w:color="auto" w:fill="CFF0FC"/>
          </w:tcPr>
          <w:p>
            <w:pPr>
              <w:spacing w:after="0"/>
              <w:rPr>
                <w:sz w:val="16"/>
                <w:szCs w:val="16"/>
                <w:color w:val="auto"/>
              </w:rPr>
            </w:pPr>
          </w:p>
        </w:tc>
        <w:tc>
          <w:tcPr>
            <w:tcW w:w="6740" w:type="dxa"/>
            <w:vAlign w:val="bottom"/>
            <w:tcBorders>
              <w:bottom w:val="single" w:sz="8" w:color="0000FF"/>
            </w:tcBorders>
            <w:gridSpan w:val="30"/>
            <w:shd w:val="clear" w:color="auto" w:fill="CFF0FC"/>
          </w:tcPr>
          <w:p>
            <w:pPr>
              <w:spacing w:after="0" w:line="189" w:lineRule="exact"/>
              <w:rPr>
                <w:rFonts w:ascii="Times New Roman" w:cs="Times New Roman" w:eastAsia="Times New Roman" w:hAnsi="Times New Roman"/>
                <w:sz w:val="18"/>
                <w:szCs w:val="18"/>
                <w:color w:val="0000FF"/>
              </w:rPr>
            </w:pPr>
            <w:hyperlink r:id="rId714">
              <w:r>
                <w:rPr>
                  <w:rFonts w:ascii="Times New Roman" w:cs="Times New Roman" w:eastAsia="Times New Roman" w:hAnsi="Times New Roman"/>
                  <w:sz w:val="18"/>
                  <w:szCs w:val="18"/>
                  <w:color w:val="0000FF"/>
                </w:rPr>
                <w:t>First Supplemental Indenture, dated as of May 16, 2017, supplemental to the Indenture dated</w:t>
              </w:r>
            </w:hyperlink>
          </w:p>
        </w:tc>
        <w:tc>
          <w:tcPr>
            <w:tcW w:w="12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tcBorders>
              <w:bottom w:val="single" w:sz="8" w:color="CFF0FC"/>
            </w:tcBorders>
            <w:gridSpan w:val="2"/>
            <w:shd w:val="clear" w:color="auto" w:fill="CFF0FC"/>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7"/>
              </w:rPr>
              <w:t>4.2</w:t>
            </w:r>
          </w:p>
        </w:tc>
        <w:tc>
          <w:tcPr>
            <w:tcW w:w="1220" w:type="dxa"/>
            <w:vAlign w:val="bottom"/>
            <w:tcBorders>
              <w:bottom w:val="single" w:sz="8" w:color="CFF0FC"/>
            </w:tcBorders>
            <w:gridSpan w:val="3"/>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May 16, 2017</w:t>
            </w:r>
          </w:p>
        </w:tc>
        <w:tc>
          <w:tcPr>
            <w:tcW w:w="12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right w:val="single" w:sz="8" w:color="CFF0FC"/>
            </w:tcBorders>
            <w:shd w:val="clear" w:color="auto" w:fill="CFF0FC"/>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0" w:type="dxa"/>
            <w:vAlign w:val="bottom"/>
            <w:tcBorders>
              <w:right w:val="single" w:sz="8" w:color="CFF0FC"/>
            </w:tcBorders>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0000FF"/>
            </w:tcBorders>
            <w:gridSpan w:val="2"/>
            <w:shd w:val="clear" w:color="auto" w:fill="CFF0FC"/>
          </w:tcPr>
          <w:p>
            <w:pPr>
              <w:spacing w:after="0" w:line="195" w:lineRule="exact"/>
              <w:rPr>
                <w:rFonts w:ascii="Times New Roman" w:cs="Times New Roman" w:eastAsia="Times New Roman" w:hAnsi="Times New Roman"/>
                <w:sz w:val="18"/>
                <w:szCs w:val="18"/>
                <w:color w:val="0000FF"/>
                <w:w w:val="98"/>
              </w:rPr>
            </w:pPr>
            <w:hyperlink r:id="rId714">
              <w:r>
                <w:rPr>
                  <w:rFonts w:ascii="Times New Roman" w:cs="Times New Roman" w:eastAsia="Times New Roman" w:hAnsi="Times New Roman"/>
                  <w:sz w:val="18"/>
                  <w:szCs w:val="18"/>
                  <w:color w:val="0000FF"/>
                  <w:w w:val="98"/>
                </w:rPr>
                <w:t>as of May 16, 2017</w:t>
              </w:r>
            </w:hyperlink>
          </w:p>
        </w:tc>
        <w:tc>
          <w:tcPr>
            <w:tcW w:w="5460" w:type="dxa"/>
            <w:vAlign w:val="bottom"/>
            <w:tcBorders>
              <w:bottom w:val="single" w:sz="8" w:color="CFF0FC"/>
            </w:tcBorders>
            <w:gridSpan w:val="29"/>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right w:val="single" w:sz="8" w:color="CFF0FC"/>
            </w:tcBorders>
            <w:shd w:val="clear" w:color="auto" w:fill="CFF0FC"/>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4.9</w:t>
            </w:r>
          </w:p>
        </w:tc>
        <w:tc>
          <w:tcPr>
            <w:tcW w:w="140" w:type="dxa"/>
            <w:vAlign w:val="bottom"/>
          </w:tcPr>
          <w:p>
            <w:pPr>
              <w:spacing w:after="0"/>
              <w:rPr>
                <w:sz w:val="16"/>
                <w:szCs w:val="16"/>
                <w:color w:val="auto"/>
              </w:rPr>
            </w:pPr>
          </w:p>
        </w:tc>
        <w:tc>
          <w:tcPr>
            <w:tcW w:w="6680" w:type="dxa"/>
            <w:vAlign w:val="bottom"/>
            <w:tcBorders>
              <w:bottom w:val="single" w:sz="8" w:color="0000FF"/>
            </w:tcBorders>
            <w:gridSpan w:val="28"/>
          </w:tcPr>
          <w:p>
            <w:pPr>
              <w:spacing w:after="0" w:line="189" w:lineRule="exact"/>
              <w:rPr>
                <w:rFonts w:ascii="Times New Roman" w:cs="Times New Roman" w:eastAsia="Times New Roman" w:hAnsi="Times New Roman"/>
                <w:sz w:val="18"/>
                <w:szCs w:val="18"/>
                <w:color w:val="0000FF"/>
              </w:rPr>
            </w:pPr>
            <w:hyperlink r:id="rId715">
              <w:r>
                <w:rPr>
                  <w:rFonts w:ascii="Times New Roman" w:cs="Times New Roman" w:eastAsia="Times New Roman" w:hAnsi="Times New Roman"/>
                  <w:sz w:val="18"/>
                  <w:szCs w:val="18"/>
                  <w:color w:val="0000FF"/>
                </w:rPr>
                <w:t>Second Supplemental Indenture, dated as of August 11, 2017, supplemental to the Indenture</w:t>
              </w:r>
            </w:hyperlink>
          </w:p>
        </w:tc>
        <w:tc>
          <w:tcPr>
            <w:tcW w:w="180" w:type="dxa"/>
            <w:vAlign w:val="bottom"/>
            <w:gridSpan w:val="3"/>
          </w:tcPr>
          <w:p>
            <w:pPr>
              <w:spacing w:after="0"/>
              <w:rPr>
                <w:sz w:val="16"/>
                <w:szCs w:val="16"/>
                <w:color w:val="auto"/>
              </w:rPr>
            </w:pPr>
          </w:p>
        </w:tc>
        <w:tc>
          <w:tcPr>
            <w:tcW w:w="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gridSpan w:val="2"/>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7"/>
              </w:rPr>
              <w:t>4.4</w:t>
            </w:r>
          </w:p>
        </w:tc>
        <w:tc>
          <w:tcPr>
            <w:tcW w:w="1220" w:type="dxa"/>
            <w:vAlign w:val="bottom"/>
            <w:gridSpan w:val="3"/>
          </w:tcPr>
          <w:p>
            <w:pPr>
              <w:ind w:left="140"/>
              <w:spacing w:after="0" w:line="189" w:lineRule="exact"/>
              <w:rPr>
                <w:sz w:val="20"/>
                <w:szCs w:val="20"/>
                <w:color w:val="auto"/>
              </w:rPr>
            </w:pPr>
            <w:r>
              <w:rPr>
                <w:rFonts w:ascii="Times New Roman" w:cs="Times New Roman" w:eastAsia="Times New Roman" w:hAnsi="Times New Roman"/>
                <w:sz w:val="18"/>
                <w:szCs w:val="18"/>
                <w:color w:val="auto"/>
              </w:rPr>
              <w:t>August 16,</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60" w:type="dxa"/>
            <w:vAlign w:val="bottom"/>
            <w:gridSpan w:val="31"/>
          </w:tcPr>
          <w:p>
            <w:pPr>
              <w:spacing w:after="0" w:line="195" w:lineRule="exact"/>
              <w:rPr>
                <w:rFonts w:ascii="Times New Roman" w:cs="Times New Roman" w:eastAsia="Times New Roman" w:hAnsi="Times New Roman"/>
                <w:sz w:val="18"/>
                <w:szCs w:val="18"/>
                <w:color w:val="0000FF"/>
              </w:rPr>
            </w:pPr>
            <w:hyperlink r:id="rId715">
              <w:r>
                <w:rPr>
                  <w:rFonts w:ascii="Times New Roman" w:cs="Times New Roman" w:eastAsia="Times New Roman" w:hAnsi="Times New Roman"/>
                  <w:sz w:val="18"/>
                  <w:szCs w:val="18"/>
                  <w:color w:val="0000FF"/>
                </w:rPr>
                <w:t>dated as of May 16, 2017</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gridSpan w:val="2"/>
          </w:tcPr>
          <w:p>
            <w:pPr>
              <w:ind w:left="140"/>
              <w:spacing w:after="0" w:line="195" w:lineRule="exact"/>
              <w:rPr>
                <w:sz w:val="20"/>
                <w:szCs w:val="20"/>
                <w:color w:val="auto"/>
              </w:rPr>
            </w:pPr>
            <w:r>
              <w:rPr>
                <w:rFonts w:ascii="Times New Roman" w:cs="Times New Roman" w:eastAsia="Times New Roman" w:hAnsi="Times New Roman"/>
                <w:sz w:val="18"/>
                <w:szCs w:val="18"/>
                <w:color w:val="auto"/>
              </w:rPr>
              <w:t>2017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Borders>
              <w:right w:val="single" w:sz="8" w:color="CFF0FC"/>
            </w:tcBorders>
          </w:tcPr>
          <w:p>
            <w:pPr>
              <w:spacing w:after="0"/>
              <w:rPr>
                <w:sz w:val="16"/>
                <w:szCs w:val="16"/>
                <w:color w:val="auto"/>
              </w:rPr>
            </w:pPr>
          </w:p>
        </w:tc>
        <w:tc>
          <w:tcPr>
            <w:tcW w:w="6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4.10</w:t>
            </w:r>
          </w:p>
        </w:tc>
        <w:tc>
          <w:tcPr>
            <w:tcW w:w="140" w:type="dxa"/>
            <w:vAlign w:val="bottom"/>
            <w:tcBorders>
              <w:bottom w:val="single" w:sz="8" w:color="CFF0FC"/>
            </w:tcBorders>
            <w:shd w:val="clear" w:color="auto" w:fill="CFF0FC"/>
          </w:tcPr>
          <w:p>
            <w:pPr>
              <w:spacing w:after="0"/>
              <w:rPr>
                <w:sz w:val="16"/>
                <w:szCs w:val="16"/>
                <w:color w:val="auto"/>
              </w:rPr>
            </w:pPr>
          </w:p>
        </w:tc>
        <w:tc>
          <w:tcPr>
            <w:tcW w:w="6060" w:type="dxa"/>
            <w:vAlign w:val="bottom"/>
            <w:tcBorders>
              <w:bottom w:val="single" w:sz="8" w:color="0000FF"/>
            </w:tcBorders>
            <w:gridSpan w:val="10"/>
            <w:shd w:val="clear" w:color="auto" w:fill="CFF0FC"/>
          </w:tcPr>
          <w:p>
            <w:pPr>
              <w:spacing w:after="0" w:line="189" w:lineRule="exact"/>
              <w:rPr>
                <w:rFonts w:ascii="Times New Roman" w:cs="Times New Roman" w:eastAsia="Times New Roman" w:hAnsi="Times New Roman"/>
                <w:sz w:val="18"/>
                <w:szCs w:val="18"/>
                <w:color w:val="0000FF"/>
              </w:rPr>
            </w:pPr>
            <w:hyperlink r:id="rId716">
              <w:r>
                <w:rPr>
                  <w:rFonts w:ascii="Times New Roman" w:cs="Times New Roman" w:eastAsia="Times New Roman" w:hAnsi="Times New Roman"/>
                  <w:sz w:val="18"/>
                  <w:szCs w:val="18"/>
                  <w:color w:val="0000FF"/>
                </w:rPr>
                <w:t>Third Supplemental Indenture, dated as of September 10, 2018, supplemental to the</w:t>
              </w:r>
            </w:hyperlink>
          </w:p>
        </w:tc>
        <w:tc>
          <w:tcPr>
            <w:tcW w:w="800" w:type="dxa"/>
            <w:vAlign w:val="bottom"/>
            <w:tcBorders>
              <w:bottom w:val="single" w:sz="8" w:color="CFF0FC"/>
            </w:tcBorders>
            <w:gridSpan w:val="21"/>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tcBorders>
              <w:bottom w:val="single" w:sz="8" w:color="CFF0FC"/>
            </w:tcBorders>
            <w:gridSpan w:val="2"/>
            <w:shd w:val="clear" w:color="auto" w:fill="CFF0FC"/>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7"/>
              </w:rPr>
              <w:t>4.1</w:t>
            </w:r>
          </w:p>
        </w:tc>
        <w:tc>
          <w:tcPr>
            <w:tcW w:w="1220" w:type="dxa"/>
            <w:vAlign w:val="bottom"/>
            <w:tcBorders>
              <w:bottom w:val="single" w:sz="8" w:color="CFF0FC"/>
            </w:tcBorders>
            <w:gridSpan w:val="3"/>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September 10,</w:t>
            </w:r>
          </w:p>
        </w:tc>
        <w:tc>
          <w:tcPr>
            <w:tcW w:w="12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right w:val="single" w:sz="8" w:color="CFF0FC"/>
            </w:tcBorders>
            <w:shd w:val="clear" w:color="auto" w:fill="CFF0FC"/>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60" w:type="dxa"/>
            <w:vAlign w:val="bottom"/>
            <w:gridSpan w:val="31"/>
            <w:shd w:val="clear" w:color="auto" w:fill="CFF0FC"/>
          </w:tcPr>
          <w:p>
            <w:pPr>
              <w:spacing w:after="0" w:line="195" w:lineRule="exact"/>
              <w:rPr>
                <w:rFonts w:ascii="Times New Roman" w:cs="Times New Roman" w:eastAsia="Times New Roman" w:hAnsi="Times New Roman"/>
                <w:sz w:val="18"/>
                <w:szCs w:val="18"/>
                <w:color w:val="0000FF"/>
              </w:rPr>
            </w:pPr>
            <w:hyperlink r:id="rId716">
              <w:r>
                <w:rPr>
                  <w:rFonts w:ascii="Times New Roman" w:cs="Times New Roman" w:eastAsia="Times New Roman" w:hAnsi="Times New Roman"/>
                  <w:sz w:val="18"/>
                  <w:szCs w:val="18"/>
                  <w:color w:val="0000FF"/>
                </w:rPr>
                <w:t>Indenture dated as of May 16, 2017</w:t>
              </w:r>
            </w:hyperlink>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ind w:left="140"/>
              <w:spacing w:after="0" w:line="195" w:lineRule="exact"/>
              <w:rPr>
                <w:sz w:val="20"/>
                <w:szCs w:val="20"/>
                <w:color w:val="auto"/>
              </w:rPr>
            </w:pPr>
            <w:r>
              <w:rPr>
                <w:rFonts w:ascii="Times New Roman" w:cs="Times New Roman" w:eastAsia="Times New Roman" w:hAnsi="Times New Roman"/>
                <w:sz w:val="18"/>
                <w:szCs w:val="18"/>
                <w:color w:val="auto"/>
              </w:rPr>
              <w:t>2018</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tcBorders>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Borders>
              <w:right w:val="single" w:sz="8" w:color="CFF0FC"/>
            </w:tcBorders>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0000FF"/>
            </w:tcBorders>
            <w:shd w:val="clear" w:color="auto" w:fill="CFF0FC"/>
          </w:tcPr>
          <w:p>
            <w:pPr>
              <w:spacing w:after="0"/>
              <w:rPr>
                <w:sz w:val="2"/>
                <w:szCs w:val="2"/>
                <w:color w:val="auto"/>
              </w:rPr>
            </w:pPr>
          </w:p>
        </w:tc>
        <w:tc>
          <w:tcPr>
            <w:tcW w:w="400" w:type="dxa"/>
            <w:vAlign w:val="bottom"/>
            <w:tcBorders>
              <w:top w:val="single" w:sz="8" w:color="0000FF"/>
            </w:tcBorders>
            <w:shd w:val="clear" w:color="auto" w:fill="CFF0FC"/>
          </w:tcPr>
          <w:p>
            <w:pPr>
              <w:spacing w:after="0"/>
              <w:rPr>
                <w:sz w:val="2"/>
                <w:szCs w:val="2"/>
                <w:color w:val="auto"/>
              </w:rPr>
            </w:pPr>
          </w:p>
        </w:tc>
        <w:tc>
          <w:tcPr>
            <w:tcW w:w="44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32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660" w:type="dxa"/>
            <w:vAlign w:val="bottom"/>
            <w:tcBorders>
              <w:top w:val="single" w:sz="8" w:color="CFF0FC"/>
            </w:tcBorders>
            <w:shd w:val="clear" w:color="auto" w:fill="CFF0FC"/>
          </w:tcPr>
          <w:p>
            <w:pPr>
              <w:spacing w:after="0"/>
              <w:rPr>
                <w:sz w:val="2"/>
                <w:szCs w:val="2"/>
                <w:color w:val="auto"/>
              </w:rPr>
            </w:pPr>
          </w:p>
        </w:tc>
        <w:tc>
          <w:tcPr>
            <w:tcW w:w="1340" w:type="dxa"/>
            <w:vAlign w:val="bottom"/>
            <w:tcBorders>
              <w:top w:val="single" w:sz="8" w:color="CFF0FC"/>
              <w:right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140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0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660" w:type="dxa"/>
            <w:vAlign w:val="bottom"/>
            <w:tcBorders>
              <w:top w:val="single" w:sz="8" w:color="CFF0FC"/>
              <w:right w:val="single" w:sz="8" w:color="CFF0FC"/>
            </w:tcBorders>
            <w:shd w:val="clear" w:color="auto" w:fill="CFF0FC"/>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5"/>
              </w:rPr>
              <w:t>4.11</w:t>
            </w:r>
          </w:p>
        </w:tc>
        <w:tc>
          <w:tcPr>
            <w:tcW w:w="140" w:type="dxa"/>
            <w:vAlign w:val="bottom"/>
          </w:tcPr>
          <w:p>
            <w:pPr>
              <w:spacing w:after="0"/>
              <w:rPr>
                <w:sz w:val="16"/>
                <w:szCs w:val="16"/>
                <w:color w:val="auto"/>
              </w:rPr>
            </w:pPr>
          </w:p>
        </w:tc>
        <w:tc>
          <w:tcPr>
            <w:tcW w:w="6160" w:type="dxa"/>
            <w:vAlign w:val="bottom"/>
            <w:tcBorders>
              <w:bottom w:val="single" w:sz="8" w:color="0000FF"/>
            </w:tcBorders>
            <w:gridSpan w:val="11"/>
          </w:tcPr>
          <w:p>
            <w:pPr>
              <w:spacing w:after="0" w:line="189" w:lineRule="exact"/>
              <w:rPr>
                <w:rFonts w:ascii="Times New Roman" w:cs="Times New Roman" w:eastAsia="Times New Roman" w:hAnsi="Times New Roman"/>
                <w:sz w:val="18"/>
                <w:szCs w:val="18"/>
                <w:color w:val="0000FF"/>
              </w:rPr>
            </w:pPr>
            <w:hyperlink r:id="rId717">
              <w:r>
                <w:rPr>
                  <w:rFonts w:ascii="Times New Roman" w:cs="Times New Roman" w:eastAsia="Times New Roman" w:hAnsi="Times New Roman"/>
                  <w:sz w:val="18"/>
                  <w:szCs w:val="18"/>
                  <w:color w:val="0000FF"/>
                </w:rPr>
                <w:t>Fourth Supplemental Indenture, dated as of September 10, 2019, supplemental to the</w:t>
              </w:r>
            </w:hyperlink>
          </w:p>
        </w:tc>
        <w:tc>
          <w:tcPr>
            <w:tcW w:w="700" w:type="dxa"/>
            <w:vAlign w:val="bottom"/>
            <w:gridSpan w:val="20"/>
          </w:tcPr>
          <w:p>
            <w:pPr>
              <w:spacing w:after="0"/>
              <w:rPr>
                <w:sz w:val="16"/>
                <w:szCs w:val="16"/>
                <w:color w:val="auto"/>
              </w:rPr>
            </w:pPr>
          </w:p>
        </w:tc>
        <w:tc>
          <w:tcPr>
            <w:tcW w:w="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gridSpan w:val="2"/>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7"/>
              </w:rPr>
              <w:t>4.1</w:t>
            </w:r>
          </w:p>
        </w:tc>
        <w:tc>
          <w:tcPr>
            <w:tcW w:w="1220" w:type="dxa"/>
            <w:vAlign w:val="bottom"/>
            <w:gridSpan w:val="3"/>
          </w:tcPr>
          <w:p>
            <w:pPr>
              <w:ind w:left="140"/>
              <w:spacing w:after="0" w:line="189" w:lineRule="exact"/>
              <w:rPr>
                <w:sz w:val="20"/>
                <w:szCs w:val="20"/>
                <w:color w:val="auto"/>
              </w:rPr>
            </w:pPr>
            <w:r>
              <w:rPr>
                <w:rFonts w:ascii="Times New Roman" w:cs="Times New Roman" w:eastAsia="Times New Roman" w:hAnsi="Times New Roman"/>
                <w:sz w:val="18"/>
                <w:szCs w:val="18"/>
                <w:color w:val="auto"/>
              </w:rPr>
              <w:t>September 10,</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60" w:type="dxa"/>
            <w:vAlign w:val="bottom"/>
            <w:gridSpan w:val="31"/>
          </w:tcPr>
          <w:p>
            <w:pPr>
              <w:spacing w:after="0" w:line="195" w:lineRule="exact"/>
              <w:rPr>
                <w:rFonts w:ascii="Times New Roman" w:cs="Times New Roman" w:eastAsia="Times New Roman" w:hAnsi="Times New Roman"/>
                <w:sz w:val="18"/>
                <w:szCs w:val="18"/>
                <w:color w:val="0000FF"/>
              </w:rPr>
            </w:pPr>
            <w:hyperlink r:id="rId717">
              <w:r>
                <w:rPr>
                  <w:rFonts w:ascii="Times New Roman" w:cs="Times New Roman" w:eastAsia="Times New Roman" w:hAnsi="Times New Roman"/>
                  <w:sz w:val="18"/>
                  <w:szCs w:val="18"/>
                  <w:color w:val="0000FF"/>
                </w:rPr>
                <w:t>Indenture dated as of May 16, 2017</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gridSpan w:val="2"/>
          </w:tcPr>
          <w:p>
            <w:pPr>
              <w:ind w:left="140"/>
              <w:spacing w:after="0" w:line="195" w:lineRule="exact"/>
              <w:rPr>
                <w:sz w:val="20"/>
                <w:szCs w:val="20"/>
                <w:color w:val="auto"/>
              </w:rPr>
            </w:pPr>
            <w:r>
              <w:rPr>
                <w:rFonts w:ascii="Times New Roman" w:cs="Times New Roman" w:eastAsia="Times New Roman" w:hAnsi="Times New Roman"/>
                <w:sz w:val="18"/>
                <w:szCs w:val="18"/>
                <w:color w:val="auto"/>
              </w:rPr>
              <w:t>2019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Borders>
              <w:right w:val="single" w:sz="8" w:color="CFF0FC"/>
            </w:tcBorders>
          </w:tcPr>
          <w:p>
            <w:pPr>
              <w:spacing w:after="0"/>
              <w:rPr>
                <w:sz w:val="16"/>
                <w:szCs w:val="16"/>
                <w:color w:val="auto"/>
              </w:rPr>
            </w:pPr>
          </w:p>
        </w:tc>
        <w:tc>
          <w:tcPr>
            <w:tcW w:w="6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4.12</w:t>
            </w:r>
          </w:p>
        </w:tc>
        <w:tc>
          <w:tcPr>
            <w:tcW w:w="140" w:type="dxa"/>
            <w:vAlign w:val="bottom"/>
            <w:tcBorders>
              <w:bottom w:val="single" w:sz="8" w:color="CFF0FC"/>
            </w:tcBorders>
            <w:shd w:val="clear" w:color="auto" w:fill="CFF0FC"/>
          </w:tcPr>
          <w:p>
            <w:pPr>
              <w:spacing w:after="0"/>
              <w:rPr>
                <w:sz w:val="16"/>
                <w:szCs w:val="16"/>
                <w:color w:val="auto"/>
              </w:rPr>
            </w:pPr>
          </w:p>
        </w:tc>
        <w:tc>
          <w:tcPr>
            <w:tcW w:w="6740" w:type="dxa"/>
            <w:vAlign w:val="bottom"/>
            <w:tcBorders>
              <w:bottom w:val="single" w:sz="8" w:color="0000FF"/>
            </w:tcBorders>
            <w:gridSpan w:val="30"/>
            <w:shd w:val="clear" w:color="auto" w:fill="CFF0FC"/>
          </w:tcPr>
          <w:p>
            <w:pPr>
              <w:spacing w:after="0" w:line="189" w:lineRule="exact"/>
              <w:rPr>
                <w:rFonts w:ascii="Times New Roman" w:cs="Times New Roman" w:eastAsia="Times New Roman" w:hAnsi="Times New Roman"/>
                <w:sz w:val="18"/>
                <w:szCs w:val="18"/>
                <w:color w:val="0000FF"/>
              </w:rPr>
            </w:pPr>
            <w:hyperlink r:id="rId718">
              <w:r>
                <w:rPr>
                  <w:rFonts w:ascii="Times New Roman" w:cs="Times New Roman" w:eastAsia="Times New Roman" w:hAnsi="Times New Roman"/>
                  <w:sz w:val="18"/>
                  <w:szCs w:val="18"/>
                  <w:color w:val="0000FF"/>
                </w:rPr>
                <w:t>Fifth Supplemental Indenture, dated as of May 19, 2022, supplemental to the Indenture dated</w:t>
              </w:r>
            </w:hyperlink>
          </w:p>
        </w:tc>
        <w:tc>
          <w:tcPr>
            <w:tcW w:w="12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tcBorders>
              <w:bottom w:val="single" w:sz="8" w:color="CFF0FC"/>
            </w:tcBorders>
            <w:gridSpan w:val="2"/>
            <w:shd w:val="clear" w:color="auto" w:fill="CFF0FC"/>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7"/>
              </w:rPr>
              <w:t>4.1</w:t>
            </w:r>
          </w:p>
        </w:tc>
        <w:tc>
          <w:tcPr>
            <w:tcW w:w="1220" w:type="dxa"/>
            <w:vAlign w:val="bottom"/>
            <w:tcBorders>
              <w:bottom w:val="single" w:sz="8" w:color="CFF0FC"/>
            </w:tcBorders>
            <w:gridSpan w:val="3"/>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May 19, 2022</w:t>
            </w:r>
          </w:p>
        </w:tc>
        <w:tc>
          <w:tcPr>
            <w:tcW w:w="12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right w:val="single" w:sz="8" w:color="CFF0FC"/>
            </w:tcBorders>
            <w:shd w:val="clear" w:color="auto" w:fill="CFF0FC"/>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0" w:type="dxa"/>
            <w:vAlign w:val="bottom"/>
            <w:tcBorders>
              <w:right w:val="single" w:sz="8" w:color="CFF0FC"/>
            </w:tcBorders>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0000FF"/>
            </w:tcBorders>
            <w:gridSpan w:val="2"/>
            <w:shd w:val="clear" w:color="auto" w:fill="CFF0FC"/>
          </w:tcPr>
          <w:p>
            <w:pPr>
              <w:spacing w:after="0" w:line="195" w:lineRule="exact"/>
              <w:rPr>
                <w:rFonts w:ascii="Times New Roman" w:cs="Times New Roman" w:eastAsia="Times New Roman" w:hAnsi="Times New Roman"/>
                <w:sz w:val="18"/>
                <w:szCs w:val="18"/>
                <w:color w:val="0000FF"/>
                <w:w w:val="98"/>
              </w:rPr>
            </w:pPr>
            <w:hyperlink r:id="rId718">
              <w:r>
                <w:rPr>
                  <w:rFonts w:ascii="Times New Roman" w:cs="Times New Roman" w:eastAsia="Times New Roman" w:hAnsi="Times New Roman"/>
                  <w:sz w:val="18"/>
                  <w:szCs w:val="18"/>
                  <w:color w:val="0000FF"/>
                  <w:w w:val="98"/>
                </w:rPr>
                <w:t>as of May 16, 2017</w:t>
              </w:r>
            </w:hyperlink>
          </w:p>
        </w:tc>
        <w:tc>
          <w:tcPr>
            <w:tcW w:w="5460" w:type="dxa"/>
            <w:vAlign w:val="bottom"/>
            <w:tcBorders>
              <w:bottom w:val="single" w:sz="8" w:color="CFF0FC"/>
            </w:tcBorders>
            <w:gridSpan w:val="29"/>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right w:val="single" w:sz="8" w:color="CFF0FC"/>
            </w:tcBorders>
            <w:shd w:val="clear" w:color="auto" w:fill="CFF0FC"/>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4.13</w:t>
            </w:r>
          </w:p>
        </w:tc>
        <w:tc>
          <w:tcPr>
            <w:tcW w:w="140" w:type="dxa"/>
            <w:vAlign w:val="bottom"/>
          </w:tcPr>
          <w:p>
            <w:pPr>
              <w:spacing w:after="0"/>
              <w:rPr>
                <w:sz w:val="16"/>
                <w:szCs w:val="16"/>
                <w:color w:val="auto"/>
              </w:rPr>
            </w:pPr>
          </w:p>
        </w:tc>
        <w:tc>
          <w:tcPr>
            <w:tcW w:w="6200" w:type="dxa"/>
            <w:vAlign w:val="bottom"/>
            <w:tcBorders>
              <w:bottom w:val="single" w:sz="8" w:color="0000FF"/>
            </w:tcBorders>
            <w:gridSpan w:val="13"/>
          </w:tcPr>
          <w:p>
            <w:pPr>
              <w:spacing w:after="0" w:line="189" w:lineRule="exact"/>
              <w:rPr>
                <w:rFonts w:ascii="Times New Roman" w:cs="Times New Roman" w:eastAsia="Times New Roman" w:hAnsi="Times New Roman"/>
                <w:sz w:val="18"/>
                <w:szCs w:val="18"/>
                <w:color w:val="0000FF"/>
              </w:rPr>
            </w:pPr>
            <w:hyperlink r:id="rId719">
              <w:r>
                <w:rPr>
                  <w:rFonts w:ascii="Times New Roman" w:cs="Times New Roman" w:eastAsia="Times New Roman" w:hAnsi="Times New Roman"/>
                  <w:sz w:val="18"/>
                  <w:szCs w:val="18"/>
                  <w:color w:val="0000FF"/>
                </w:rPr>
                <w:t>Officers’ Certificate of the Issuer and the Guarantors (including Form of Willis North</w:t>
              </w:r>
            </w:hyperlink>
          </w:p>
        </w:tc>
        <w:tc>
          <w:tcPr>
            <w:tcW w:w="660" w:type="dxa"/>
            <w:vAlign w:val="bottom"/>
            <w:gridSpan w:val="18"/>
          </w:tcPr>
          <w:p>
            <w:pPr>
              <w:spacing w:after="0"/>
              <w:rPr>
                <w:sz w:val="16"/>
                <w:szCs w:val="16"/>
                <w:color w:val="auto"/>
              </w:rPr>
            </w:pPr>
          </w:p>
        </w:tc>
        <w:tc>
          <w:tcPr>
            <w:tcW w:w="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gridSpan w:val="2"/>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7"/>
              </w:rPr>
              <w:t>4.1</w:t>
            </w:r>
          </w:p>
        </w:tc>
        <w:tc>
          <w:tcPr>
            <w:tcW w:w="1220" w:type="dxa"/>
            <w:vAlign w:val="bottom"/>
            <w:gridSpan w:val="3"/>
          </w:tcPr>
          <w:p>
            <w:pPr>
              <w:ind w:left="140"/>
              <w:spacing w:after="0" w:line="189" w:lineRule="exact"/>
              <w:rPr>
                <w:sz w:val="20"/>
                <w:szCs w:val="20"/>
                <w:color w:val="auto"/>
              </w:rPr>
            </w:pPr>
            <w:r>
              <w:rPr>
                <w:rFonts w:ascii="Times New Roman" w:cs="Times New Roman" w:eastAsia="Times New Roman" w:hAnsi="Times New Roman"/>
                <w:sz w:val="18"/>
                <w:szCs w:val="18"/>
                <w:color w:val="auto"/>
              </w:rPr>
              <w:t>May 29, 2020</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60" w:type="dxa"/>
            <w:vAlign w:val="bottom"/>
            <w:tcBorders>
              <w:bottom w:val="single" w:sz="8" w:color="0000FF"/>
            </w:tcBorders>
            <w:gridSpan w:val="27"/>
          </w:tcPr>
          <w:p>
            <w:pPr>
              <w:spacing w:after="0" w:line="195" w:lineRule="exact"/>
              <w:rPr>
                <w:rFonts w:ascii="Times New Roman" w:cs="Times New Roman" w:eastAsia="Times New Roman" w:hAnsi="Times New Roman"/>
                <w:sz w:val="18"/>
                <w:szCs w:val="18"/>
                <w:color w:val="0000FF"/>
              </w:rPr>
            </w:pPr>
            <w:hyperlink r:id="rId719">
              <w:r>
                <w:rPr>
                  <w:rFonts w:ascii="Times New Roman" w:cs="Times New Roman" w:eastAsia="Times New Roman" w:hAnsi="Times New Roman"/>
                  <w:sz w:val="18"/>
                  <w:szCs w:val="18"/>
                  <w:color w:val="0000FF"/>
                </w:rPr>
                <w:t>America Inc.'s 2.95% Senior Note due 2029 and 3.875% Senior Note due 2049), dated as of</w:t>
              </w:r>
            </w:hyperlink>
          </w:p>
        </w:tc>
        <w:tc>
          <w:tcPr>
            <w:tcW w:w="200" w:type="dxa"/>
            <w:vAlign w:val="bottom"/>
            <w:gridSpan w:val="4"/>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60" w:type="dxa"/>
            <w:vAlign w:val="bottom"/>
            <w:gridSpan w:val="31"/>
          </w:tcPr>
          <w:p>
            <w:pPr>
              <w:spacing w:after="0" w:line="195" w:lineRule="exact"/>
              <w:rPr>
                <w:rFonts w:ascii="Times New Roman" w:cs="Times New Roman" w:eastAsia="Times New Roman" w:hAnsi="Times New Roman"/>
                <w:sz w:val="18"/>
                <w:szCs w:val="18"/>
                <w:color w:val="0000FF"/>
              </w:rPr>
            </w:pPr>
            <w:hyperlink r:id="rId719">
              <w:r>
                <w:rPr>
                  <w:rFonts w:ascii="Times New Roman" w:cs="Times New Roman" w:eastAsia="Times New Roman" w:hAnsi="Times New Roman"/>
                  <w:sz w:val="18"/>
                  <w:szCs w:val="18"/>
                  <w:color w:val="0000FF"/>
                </w:rPr>
                <w:t>May 29, 2020</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Borders>
              <w:right w:val="single" w:sz="8" w:color="CFF0FC"/>
            </w:tcBorders>
          </w:tcPr>
          <w:p>
            <w:pPr>
              <w:spacing w:after="0"/>
              <w:rPr>
                <w:sz w:val="16"/>
                <w:szCs w:val="16"/>
                <w:color w:val="auto"/>
              </w:rPr>
            </w:pPr>
          </w:p>
        </w:tc>
        <w:tc>
          <w:tcPr>
            <w:tcW w:w="6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4.14</w:t>
            </w:r>
          </w:p>
        </w:tc>
        <w:tc>
          <w:tcPr>
            <w:tcW w:w="140" w:type="dxa"/>
            <w:vAlign w:val="bottom"/>
            <w:tcBorders>
              <w:bottom w:val="single" w:sz="8" w:color="CFF0FC"/>
            </w:tcBorders>
            <w:shd w:val="clear" w:color="auto" w:fill="CFF0FC"/>
          </w:tcPr>
          <w:p>
            <w:pPr>
              <w:spacing w:after="0"/>
              <w:rPr>
                <w:sz w:val="16"/>
                <w:szCs w:val="16"/>
                <w:color w:val="auto"/>
              </w:rPr>
            </w:pPr>
          </w:p>
        </w:tc>
        <w:tc>
          <w:tcPr>
            <w:tcW w:w="6600" w:type="dxa"/>
            <w:vAlign w:val="bottom"/>
            <w:tcBorders>
              <w:bottom w:val="single" w:sz="8" w:color="0000FF"/>
            </w:tcBorders>
            <w:gridSpan w:val="24"/>
            <w:shd w:val="clear" w:color="auto" w:fill="CFF0FC"/>
          </w:tcPr>
          <w:p>
            <w:pPr>
              <w:spacing w:after="0" w:line="189" w:lineRule="exact"/>
              <w:rPr>
                <w:rFonts w:ascii="Times New Roman" w:cs="Times New Roman" w:eastAsia="Times New Roman" w:hAnsi="Times New Roman"/>
                <w:sz w:val="18"/>
                <w:szCs w:val="18"/>
                <w:color w:val="0000FF"/>
                <w:w w:val="99"/>
              </w:rPr>
            </w:pPr>
            <w:hyperlink r:id="rId720">
              <w:r>
                <w:rPr>
                  <w:rFonts w:ascii="Times New Roman" w:cs="Times New Roman" w:eastAsia="Times New Roman" w:hAnsi="Times New Roman"/>
                  <w:sz w:val="18"/>
                  <w:szCs w:val="18"/>
                  <w:color w:val="0000FF"/>
                  <w:w w:val="99"/>
                </w:rPr>
                <w:t>Form of Indenture among Willis Towers Watson Public Limited Company, as issuer, Willis</w:t>
              </w:r>
            </w:hyperlink>
          </w:p>
        </w:tc>
        <w:tc>
          <w:tcPr>
            <w:tcW w:w="260" w:type="dxa"/>
            <w:vAlign w:val="bottom"/>
            <w:tcBorders>
              <w:bottom w:val="single" w:sz="8" w:color="CFF0FC"/>
            </w:tcBorders>
            <w:gridSpan w:val="7"/>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S-3</w:t>
            </w:r>
          </w:p>
        </w:tc>
        <w:tc>
          <w:tcPr>
            <w:tcW w:w="580" w:type="dxa"/>
            <w:vAlign w:val="bottom"/>
            <w:tcBorders>
              <w:bottom w:val="single" w:sz="8" w:color="CFF0FC"/>
            </w:tcBorders>
            <w:gridSpan w:val="2"/>
            <w:shd w:val="clear" w:color="auto" w:fill="CFF0FC"/>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7"/>
              </w:rPr>
              <w:t>4.6</w:t>
            </w:r>
          </w:p>
        </w:tc>
        <w:tc>
          <w:tcPr>
            <w:tcW w:w="1220" w:type="dxa"/>
            <w:vAlign w:val="bottom"/>
            <w:tcBorders>
              <w:bottom w:val="single" w:sz="8" w:color="CFF0FC"/>
            </w:tcBorders>
            <w:gridSpan w:val="3"/>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February 28,</w:t>
            </w:r>
          </w:p>
        </w:tc>
        <w:tc>
          <w:tcPr>
            <w:tcW w:w="12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right w:val="single" w:sz="8" w:color="CFF0FC"/>
            </w:tcBorders>
            <w:shd w:val="clear" w:color="auto" w:fill="CFF0FC"/>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720" w:type="dxa"/>
            <w:vAlign w:val="bottom"/>
            <w:tcBorders>
              <w:bottom w:val="single" w:sz="8" w:color="0000FF"/>
            </w:tcBorders>
            <w:gridSpan w:val="29"/>
            <w:shd w:val="clear" w:color="auto" w:fill="CFF0FC"/>
          </w:tcPr>
          <w:p>
            <w:pPr>
              <w:spacing w:after="0" w:line="195" w:lineRule="exact"/>
              <w:rPr>
                <w:rFonts w:ascii="Times New Roman" w:cs="Times New Roman" w:eastAsia="Times New Roman" w:hAnsi="Times New Roman"/>
                <w:sz w:val="18"/>
                <w:szCs w:val="18"/>
                <w:color w:val="0000FF"/>
                <w:w w:val="99"/>
              </w:rPr>
            </w:pPr>
            <w:hyperlink r:id="rId720">
              <w:r>
                <w:rPr>
                  <w:rFonts w:ascii="Times New Roman" w:cs="Times New Roman" w:eastAsia="Times New Roman" w:hAnsi="Times New Roman"/>
                  <w:sz w:val="18"/>
                  <w:szCs w:val="18"/>
                  <w:color w:val="0000FF"/>
                  <w:w w:val="99"/>
                </w:rPr>
                <w:t>Towers Watson Sub Holdings Unlimited Company, Willis Netherlands Holdings B.V., Willis</w:t>
              </w:r>
            </w:hyperlink>
          </w:p>
        </w:tc>
        <w:tc>
          <w:tcPr>
            <w:tcW w:w="140" w:type="dxa"/>
            <w:vAlign w:val="bottom"/>
            <w:tcBorders>
              <w:bottom w:val="single" w:sz="8" w:color="CFF0FC"/>
            </w:tcBorders>
            <w:gridSpan w:val="2"/>
            <w:shd w:val="clear" w:color="auto" w:fill="CFF0FC"/>
          </w:tcPr>
          <w:p>
            <w:pPr>
              <w:spacing w:after="0"/>
              <w:rPr>
                <w:sz w:val="17"/>
                <w:szCs w:val="17"/>
                <w:color w:val="auto"/>
              </w:rPr>
            </w:pPr>
          </w:p>
        </w:tc>
        <w:tc>
          <w:tcPr>
            <w:tcW w:w="5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CFF0FC"/>
            </w:tcBorders>
            <w:gridSpan w:val="2"/>
            <w:shd w:val="clear" w:color="auto" w:fill="CFF0FC"/>
          </w:tcPr>
          <w:p>
            <w:pPr>
              <w:ind w:left="140"/>
              <w:spacing w:after="0" w:line="195" w:lineRule="exact"/>
              <w:rPr>
                <w:sz w:val="20"/>
                <w:szCs w:val="20"/>
                <w:color w:val="auto"/>
              </w:rPr>
            </w:pPr>
            <w:r>
              <w:rPr>
                <w:rFonts w:ascii="Times New Roman" w:cs="Times New Roman" w:eastAsia="Times New Roman" w:hAnsi="Times New Roman"/>
                <w:sz w:val="18"/>
                <w:szCs w:val="18"/>
                <w:color w:val="auto"/>
              </w:rPr>
              <w:t>2022</w:t>
            </w: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180" w:type="dxa"/>
            <w:vAlign w:val="bottom"/>
            <w:tcBorders>
              <w:bottom w:val="single" w:sz="8" w:color="0000FF"/>
            </w:tcBorders>
            <w:gridSpan w:val="12"/>
            <w:shd w:val="clear" w:color="auto" w:fill="CFF0FC"/>
          </w:tcPr>
          <w:p>
            <w:pPr>
              <w:spacing w:after="0" w:line="195" w:lineRule="exact"/>
              <w:rPr>
                <w:rFonts w:ascii="Times New Roman" w:cs="Times New Roman" w:eastAsia="Times New Roman" w:hAnsi="Times New Roman"/>
                <w:sz w:val="18"/>
                <w:szCs w:val="18"/>
                <w:color w:val="0000FF"/>
                <w:w w:val="99"/>
              </w:rPr>
            </w:pPr>
            <w:hyperlink r:id="rId720">
              <w:r>
                <w:rPr>
                  <w:rFonts w:ascii="Times New Roman" w:cs="Times New Roman" w:eastAsia="Times New Roman" w:hAnsi="Times New Roman"/>
                  <w:sz w:val="18"/>
                  <w:szCs w:val="18"/>
                  <w:color w:val="0000FF"/>
                  <w:w w:val="99"/>
                </w:rPr>
                <w:t>Investment UK Holdings Limited, TA I Limited, Willis Towers Watson UK Holdings</w:t>
              </w:r>
            </w:hyperlink>
          </w:p>
        </w:tc>
        <w:tc>
          <w:tcPr>
            <w:tcW w:w="680" w:type="dxa"/>
            <w:vAlign w:val="bottom"/>
            <w:tcBorders>
              <w:bottom w:val="single" w:sz="8" w:color="CFF0FC"/>
            </w:tcBorders>
            <w:gridSpan w:val="19"/>
            <w:shd w:val="clear" w:color="auto" w:fill="CFF0FC"/>
          </w:tcPr>
          <w:p>
            <w:pPr>
              <w:spacing w:after="0"/>
              <w:rPr>
                <w:sz w:val="17"/>
                <w:szCs w:val="17"/>
                <w:color w:val="auto"/>
              </w:rPr>
            </w:pPr>
          </w:p>
        </w:tc>
        <w:tc>
          <w:tcPr>
            <w:tcW w:w="5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460" w:type="dxa"/>
            <w:vAlign w:val="bottom"/>
            <w:tcBorders>
              <w:bottom w:val="single" w:sz="8" w:color="0000FF"/>
            </w:tcBorders>
            <w:gridSpan w:val="18"/>
            <w:shd w:val="clear" w:color="auto" w:fill="CFF0FC"/>
          </w:tcPr>
          <w:p>
            <w:pPr>
              <w:spacing w:after="0" w:line="195" w:lineRule="exact"/>
              <w:rPr>
                <w:rFonts w:ascii="Times New Roman" w:cs="Times New Roman" w:eastAsia="Times New Roman" w:hAnsi="Times New Roman"/>
                <w:sz w:val="18"/>
                <w:szCs w:val="18"/>
                <w:color w:val="0000FF"/>
                <w:w w:val="99"/>
              </w:rPr>
            </w:pPr>
            <w:hyperlink r:id="rId720">
              <w:r>
                <w:rPr>
                  <w:rFonts w:ascii="Times New Roman" w:cs="Times New Roman" w:eastAsia="Times New Roman" w:hAnsi="Times New Roman"/>
                  <w:sz w:val="18"/>
                  <w:szCs w:val="18"/>
                  <w:color w:val="0000FF"/>
                  <w:w w:val="99"/>
                </w:rPr>
                <w:t>Limited, Trinity Acquisition plc, Willis Group Limited and Willis North America Inc., as</w:t>
              </w:r>
            </w:hyperlink>
          </w:p>
        </w:tc>
        <w:tc>
          <w:tcPr>
            <w:tcW w:w="400" w:type="dxa"/>
            <w:vAlign w:val="bottom"/>
            <w:tcBorders>
              <w:bottom w:val="single" w:sz="8" w:color="CFF0FC"/>
            </w:tcBorders>
            <w:gridSpan w:val="13"/>
            <w:shd w:val="clear" w:color="auto" w:fill="CFF0FC"/>
          </w:tcPr>
          <w:p>
            <w:pPr>
              <w:spacing w:after="0"/>
              <w:rPr>
                <w:sz w:val="17"/>
                <w:szCs w:val="17"/>
                <w:color w:val="auto"/>
              </w:rPr>
            </w:pPr>
          </w:p>
        </w:tc>
        <w:tc>
          <w:tcPr>
            <w:tcW w:w="5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60" w:type="dxa"/>
            <w:vAlign w:val="bottom"/>
            <w:gridSpan w:val="31"/>
            <w:shd w:val="clear" w:color="auto" w:fill="CFF0FC"/>
          </w:tcPr>
          <w:p>
            <w:pPr>
              <w:spacing w:after="0" w:line="195" w:lineRule="exact"/>
              <w:rPr>
                <w:rFonts w:ascii="Times New Roman" w:cs="Times New Roman" w:eastAsia="Times New Roman" w:hAnsi="Times New Roman"/>
                <w:sz w:val="18"/>
                <w:szCs w:val="18"/>
                <w:color w:val="0000FF"/>
              </w:rPr>
            </w:pPr>
            <w:hyperlink r:id="rId720">
              <w:r>
                <w:rPr>
                  <w:rFonts w:ascii="Times New Roman" w:cs="Times New Roman" w:eastAsia="Times New Roman" w:hAnsi="Times New Roman"/>
                  <w:sz w:val="18"/>
                  <w:szCs w:val="18"/>
                  <w:color w:val="0000FF"/>
                </w:rPr>
                <w:t>guarantors, and Computershare Trust Company, N.A., as Trustee</w:t>
              </w:r>
            </w:hyperlink>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tcBorders>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Borders>
              <w:right w:val="single" w:sz="8" w:color="CFF0FC"/>
            </w:tcBorders>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0000FF"/>
            </w:tcBorders>
            <w:shd w:val="clear" w:color="auto" w:fill="CFF0FC"/>
          </w:tcPr>
          <w:p>
            <w:pPr>
              <w:spacing w:after="0"/>
              <w:rPr>
                <w:sz w:val="2"/>
                <w:szCs w:val="2"/>
                <w:color w:val="auto"/>
              </w:rPr>
            </w:pPr>
          </w:p>
        </w:tc>
        <w:tc>
          <w:tcPr>
            <w:tcW w:w="400" w:type="dxa"/>
            <w:vAlign w:val="bottom"/>
            <w:tcBorders>
              <w:top w:val="single" w:sz="8" w:color="0000FF"/>
            </w:tcBorders>
            <w:shd w:val="clear" w:color="auto" w:fill="CFF0FC"/>
          </w:tcPr>
          <w:p>
            <w:pPr>
              <w:spacing w:after="0"/>
              <w:rPr>
                <w:sz w:val="2"/>
                <w:szCs w:val="2"/>
                <w:color w:val="auto"/>
              </w:rPr>
            </w:pPr>
          </w:p>
        </w:tc>
        <w:tc>
          <w:tcPr>
            <w:tcW w:w="44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32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660" w:type="dxa"/>
            <w:vAlign w:val="bottom"/>
            <w:tcBorders>
              <w:top w:val="single" w:sz="8" w:color="0000FF"/>
            </w:tcBorders>
            <w:shd w:val="clear" w:color="auto" w:fill="CFF0FC"/>
          </w:tcPr>
          <w:p>
            <w:pPr>
              <w:spacing w:after="0"/>
              <w:rPr>
                <w:sz w:val="2"/>
                <w:szCs w:val="2"/>
                <w:color w:val="auto"/>
              </w:rPr>
            </w:pPr>
          </w:p>
        </w:tc>
        <w:tc>
          <w:tcPr>
            <w:tcW w:w="1340" w:type="dxa"/>
            <w:vAlign w:val="bottom"/>
            <w:tcBorders>
              <w:top w:val="single" w:sz="8" w:color="0000FF"/>
              <w:right w:val="single" w:sz="8" w:color="CFF0FC"/>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140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0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660" w:type="dxa"/>
            <w:vAlign w:val="bottom"/>
            <w:tcBorders>
              <w:top w:val="single" w:sz="8" w:color="CFF0FC"/>
              <w:right w:val="single" w:sz="8" w:color="CFF0FC"/>
            </w:tcBorders>
            <w:shd w:val="clear" w:color="auto" w:fill="CFF0FC"/>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6"/>
                <w:szCs w:val="16"/>
                <w:color w:val="auto"/>
              </w:rPr>
            </w:pPr>
          </w:p>
        </w:tc>
        <w:tc>
          <w:tcPr>
            <w:tcW w:w="6320" w:type="dxa"/>
            <w:vAlign w:val="bottom"/>
            <w:tcBorders>
              <w:bottom w:val="single" w:sz="8" w:color="0000FF"/>
            </w:tcBorders>
            <w:gridSpan w:val="14"/>
          </w:tcPr>
          <w:p>
            <w:pPr>
              <w:spacing w:after="0" w:line="189" w:lineRule="exact"/>
              <w:rPr>
                <w:rFonts w:ascii="Times New Roman" w:cs="Times New Roman" w:eastAsia="Times New Roman" w:hAnsi="Times New Roman"/>
                <w:sz w:val="18"/>
                <w:szCs w:val="18"/>
                <w:color w:val="0000FF"/>
              </w:rPr>
            </w:pPr>
            <w:hyperlink r:id="rId721">
              <w:r>
                <w:rPr>
                  <w:rFonts w:ascii="Times New Roman" w:cs="Times New Roman" w:eastAsia="Times New Roman" w:hAnsi="Times New Roman"/>
                  <w:sz w:val="18"/>
                  <w:szCs w:val="18"/>
                  <w:color w:val="0000FF"/>
                </w:rPr>
                <w:t>Second Amended and Restated Credit Agreement, dated as of October 6, 2021, among,</w:t>
              </w:r>
            </w:hyperlink>
          </w:p>
        </w:tc>
        <w:tc>
          <w:tcPr>
            <w:tcW w:w="540" w:type="dxa"/>
            <w:vAlign w:val="bottom"/>
            <w:gridSpan w:val="17"/>
          </w:tcPr>
          <w:p>
            <w:pPr>
              <w:spacing w:after="0"/>
              <w:rPr>
                <w:sz w:val="16"/>
                <w:szCs w:val="16"/>
                <w:color w:val="auto"/>
              </w:rPr>
            </w:pPr>
          </w:p>
        </w:tc>
        <w:tc>
          <w:tcPr>
            <w:tcW w:w="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gridSpan w:val="2"/>
          </w:tcPr>
          <w:p>
            <w:pPr>
              <w:jc w:val="center"/>
              <w:ind w:left="5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220" w:type="dxa"/>
            <w:vAlign w:val="bottom"/>
            <w:gridSpan w:val="3"/>
          </w:tcPr>
          <w:p>
            <w:pPr>
              <w:ind w:left="140"/>
              <w:spacing w:after="0" w:line="189" w:lineRule="exact"/>
              <w:rPr>
                <w:sz w:val="20"/>
                <w:szCs w:val="20"/>
                <w:color w:val="auto"/>
              </w:rPr>
            </w:pPr>
            <w:r>
              <w:rPr>
                <w:rFonts w:ascii="Times New Roman" w:cs="Times New Roman" w:eastAsia="Times New Roman" w:hAnsi="Times New Roman"/>
                <w:sz w:val="18"/>
                <w:szCs w:val="18"/>
                <w:color w:val="auto"/>
              </w:rPr>
              <w:t>October 7,</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40" w:type="dxa"/>
            <w:vAlign w:val="bottom"/>
            <w:tcBorders>
              <w:bottom w:val="single" w:sz="8" w:color="0000FF"/>
            </w:tcBorders>
            <w:gridSpan w:val="17"/>
          </w:tcPr>
          <w:p>
            <w:pPr>
              <w:spacing w:after="0" w:line="195" w:lineRule="exact"/>
              <w:rPr>
                <w:rFonts w:ascii="Times New Roman" w:cs="Times New Roman" w:eastAsia="Times New Roman" w:hAnsi="Times New Roman"/>
                <w:sz w:val="18"/>
                <w:szCs w:val="18"/>
                <w:color w:val="0000FF"/>
                <w:w w:val="99"/>
              </w:rPr>
            </w:pPr>
            <w:hyperlink r:id="rId721">
              <w:r>
                <w:rPr>
                  <w:rFonts w:ascii="Times New Roman" w:cs="Times New Roman" w:eastAsia="Times New Roman" w:hAnsi="Times New Roman"/>
                  <w:sz w:val="18"/>
                  <w:szCs w:val="18"/>
                  <w:color w:val="0000FF"/>
                  <w:w w:val="99"/>
                </w:rPr>
                <w:t>Trinity Acquisition plc and its indirect subsidiaries, Willis North America Inc. and Willis</w:t>
              </w:r>
            </w:hyperlink>
          </w:p>
        </w:tc>
        <w:tc>
          <w:tcPr>
            <w:tcW w:w="420" w:type="dxa"/>
            <w:vAlign w:val="bottom"/>
            <w:gridSpan w:val="14"/>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gridSpan w:val="2"/>
          </w:tcPr>
          <w:p>
            <w:pPr>
              <w:ind w:left="140"/>
              <w:spacing w:after="0" w:line="195" w:lineRule="exact"/>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380" w:type="dxa"/>
            <w:vAlign w:val="bottom"/>
            <w:tcBorders>
              <w:bottom w:val="single" w:sz="8" w:color="0000FF"/>
            </w:tcBorders>
            <w:gridSpan w:val="16"/>
          </w:tcPr>
          <w:p>
            <w:pPr>
              <w:spacing w:after="0" w:line="195" w:lineRule="exact"/>
              <w:rPr>
                <w:rFonts w:ascii="Times New Roman" w:cs="Times New Roman" w:eastAsia="Times New Roman" w:hAnsi="Times New Roman"/>
                <w:sz w:val="18"/>
                <w:szCs w:val="18"/>
                <w:color w:val="0000FF"/>
                <w:w w:val="99"/>
              </w:rPr>
            </w:pPr>
            <w:hyperlink r:id="rId721">
              <w:r>
                <w:rPr>
                  <w:rFonts w:ascii="Times New Roman" w:cs="Times New Roman" w:eastAsia="Times New Roman" w:hAnsi="Times New Roman"/>
                  <w:sz w:val="18"/>
                  <w:szCs w:val="18"/>
                  <w:color w:val="0000FF"/>
                  <w:w w:val="99"/>
                </w:rPr>
                <w:t>Netherlands Holdings B.V., Willis Towers Watson Public Limited Company, the lenders</w:t>
              </w:r>
            </w:hyperlink>
          </w:p>
        </w:tc>
        <w:tc>
          <w:tcPr>
            <w:tcW w:w="480" w:type="dxa"/>
            <w:vAlign w:val="bottom"/>
            <w:gridSpan w:val="15"/>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60" w:type="dxa"/>
            <w:vAlign w:val="bottom"/>
            <w:gridSpan w:val="31"/>
          </w:tcPr>
          <w:p>
            <w:pPr>
              <w:spacing w:after="0" w:line="195" w:lineRule="exact"/>
              <w:rPr>
                <w:rFonts w:ascii="Times New Roman" w:cs="Times New Roman" w:eastAsia="Times New Roman" w:hAnsi="Times New Roman"/>
                <w:sz w:val="18"/>
                <w:szCs w:val="18"/>
                <w:color w:val="0000FF"/>
              </w:rPr>
            </w:pPr>
            <w:hyperlink r:id="rId721">
              <w:r>
                <w:rPr>
                  <w:rFonts w:ascii="Times New Roman" w:cs="Times New Roman" w:eastAsia="Times New Roman" w:hAnsi="Times New Roman"/>
                  <w:sz w:val="18"/>
                  <w:szCs w:val="18"/>
                  <w:color w:val="0000FF"/>
                </w:rPr>
                <w:t>party thereto and Barclays Bank PLC, as Administrative Agent</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60" w:type="dxa"/>
            <w:vAlign w:val="bottom"/>
            <w:tcBorders>
              <w:right w:val="single" w:sz="8" w:color="0000EE"/>
            </w:tcBorders>
            <w:gridSpan w:val="8"/>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60" w:type="dxa"/>
            <w:vAlign w:val="bottom"/>
            <w:gridSpan w:val="10"/>
          </w:tcPr>
          <w:p>
            <w:pPr>
              <w:ind w:left="444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29" w:right="3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188"/>
        </w:trPr>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60" w:type="dxa"/>
            <w:vAlign w:val="bottom"/>
          </w:tcPr>
          <w:p>
            <w:pPr>
              <w:spacing w:after="0"/>
              <w:rPr>
                <w:sz w:val="5"/>
                <w:szCs w:val="5"/>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2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60" w:type="dxa"/>
            <w:vAlign w:val="bottom"/>
            <w:gridSpan w:val="27"/>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5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Schedul</w:t>
            </w:r>
          </w:p>
        </w:tc>
        <w:tc>
          <w:tcPr>
            <w:tcW w:w="140" w:type="dxa"/>
            <w:vAlign w:val="bottom"/>
          </w:tcPr>
          <w:p>
            <w:pPr>
              <w:spacing w:after="0"/>
              <w:rPr>
                <w:sz w:val="11"/>
                <w:szCs w:val="11"/>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w:t>
            </w:r>
          </w:p>
        </w:tc>
        <w:tc>
          <w:tcPr>
            <w:tcW w:w="140" w:type="dxa"/>
            <w:vAlign w:val="bottom"/>
          </w:tcPr>
          <w:p>
            <w:pPr>
              <w:spacing w:after="0"/>
              <w:rPr>
                <w:sz w:val="11"/>
                <w:szCs w:val="11"/>
                <w:color w:val="auto"/>
              </w:rPr>
            </w:pPr>
          </w:p>
        </w:tc>
        <w:tc>
          <w:tcPr>
            <w:tcW w:w="10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60" w:type="dxa"/>
            <w:vAlign w:val="bottom"/>
            <w:gridSpan w:val="27"/>
            <w:vMerge w:val="continue"/>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w:t>
            </w:r>
          </w:p>
        </w:tc>
        <w:tc>
          <w:tcPr>
            <w:tcW w:w="1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Herewith</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 w:type="dxa"/>
            <w:vAlign w:val="bottom"/>
            <w:vMerge w:val="restart"/>
          </w:tcPr>
          <w:p>
            <w:pPr>
              <w:spacing w:after="0"/>
              <w:rPr>
                <w:sz w:val="2"/>
                <w:szCs w:val="2"/>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w:t>
            </w:r>
          </w:p>
        </w:tc>
        <w:tc>
          <w:tcPr>
            <w:tcW w:w="1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60" w:type="dxa"/>
            <w:vAlign w:val="bottom"/>
            <w:tcBorders>
              <w:right w:val="single" w:sz="8" w:color="CFF0FC"/>
            </w:tcBorders>
          </w:tcPr>
          <w:p>
            <w:pPr>
              <w:spacing w:after="0"/>
              <w:rPr>
                <w:sz w:val="16"/>
                <w:szCs w:val="16"/>
                <w:color w:val="auto"/>
              </w:rPr>
            </w:pPr>
          </w:p>
        </w:tc>
        <w:tc>
          <w:tcPr>
            <w:tcW w:w="6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140" w:type="dxa"/>
            <w:vAlign w:val="bottom"/>
            <w:tcBorders>
              <w:bottom w:val="single" w:sz="8" w:color="CFF0FC"/>
            </w:tcBorders>
            <w:shd w:val="clear" w:color="auto" w:fill="CFF0FC"/>
          </w:tcPr>
          <w:p>
            <w:pPr>
              <w:spacing w:after="0"/>
              <w:rPr>
                <w:sz w:val="16"/>
                <w:szCs w:val="16"/>
                <w:color w:val="auto"/>
              </w:rPr>
            </w:pPr>
          </w:p>
        </w:tc>
        <w:tc>
          <w:tcPr>
            <w:tcW w:w="6540" w:type="dxa"/>
            <w:vAlign w:val="bottom"/>
            <w:tcBorders>
              <w:bottom w:val="single" w:sz="8" w:color="0000FF"/>
            </w:tcBorders>
            <w:gridSpan w:val="24"/>
            <w:shd w:val="clear" w:color="auto" w:fill="CFF0FC"/>
          </w:tcPr>
          <w:p>
            <w:pPr>
              <w:spacing w:after="0" w:line="189" w:lineRule="exact"/>
              <w:rPr>
                <w:rFonts w:ascii="Times New Roman" w:cs="Times New Roman" w:eastAsia="Times New Roman" w:hAnsi="Times New Roman"/>
                <w:sz w:val="18"/>
                <w:szCs w:val="18"/>
                <w:color w:val="0000FF"/>
              </w:rPr>
            </w:pPr>
            <w:hyperlink r:id="rId724">
              <w:r>
                <w:rPr>
                  <w:rFonts w:ascii="Times New Roman" w:cs="Times New Roman" w:eastAsia="Times New Roman" w:hAnsi="Times New Roman"/>
                  <w:sz w:val="18"/>
                  <w:szCs w:val="18"/>
                  <w:color w:val="0000FF"/>
                </w:rPr>
                <w:t>Second Amended and Restated Guaranty Agreement, dated as of October 6, 2021, among,</w:t>
              </w:r>
            </w:hyperlink>
          </w:p>
        </w:tc>
        <w:tc>
          <w:tcPr>
            <w:tcW w:w="320" w:type="dxa"/>
            <w:vAlign w:val="bottom"/>
            <w:tcBorders>
              <w:bottom w:val="single" w:sz="8" w:color="CFF0FC"/>
            </w:tcBorders>
            <w:gridSpan w:val="8"/>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tcBorders>
              <w:bottom w:val="single" w:sz="8" w:color="CFF0FC"/>
            </w:tcBorders>
            <w:gridSpan w:val="2"/>
            <w:shd w:val="clear" w:color="auto" w:fill="CFF0FC"/>
          </w:tcPr>
          <w:p>
            <w:pPr>
              <w:jc w:val="center"/>
              <w:ind w:left="50"/>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1220" w:type="dxa"/>
            <w:vAlign w:val="bottom"/>
            <w:tcBorders>
              <w:bottom w:val="single" w:sz="8" w:color="CFF0FC"/>
            </w:tcBorders>
            <w:gridSpan w:val="3"/>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October 7,</w:t>
            </w:r>
          </w:p>
        </w:tc>
        <w:tc>
          <w:tcPr>
            <w:tcW w:w="12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right w:val="single" w:sz="8" w:color="CFF0FC"/>
            </w:tcBorders>
            <w:shd w:val="clear" w:color="auto" w:fill="CFF0FC"/>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740" w:type="dxa"/>
            <w:vAlign w:val="bottom"/>
            <w:tcBorders>
              <w:bottom w:val="single" w:sz="8" w:color="0000FF"/>
            </w:tcBorders>
            <w:gridSpan w:val="31"/>
            <w:shd w:val="clear" w:color="auto" w:fill="CFF0FC"/>
          </w:tcPr>
          <w:p>
            <w:pPr>
              <w:spacing w:after="0" w:line="195" w:lineRule="exact"/>
              <w:rPr>
                <w:rFonts w:ascii="Times New Roman" w:cs="Times New Roman" w:eastAsia="Times New Roman" w:hAnsi="Times New Roman"/>
                <w:sz w:val="18"/>
                <w:szCs w:val="18"/>
                <w:color w:val="0000FF"/>
                <w:w w:val="99"/>
              </w:rPr>
            </w:pPr>
            <w:hyperlink r:id="rId724">
              <w:r>
                <w:rPr>
                  <w:rFonts w:ascii="Times New Roman" w:cs="Times New Roman" w:eastAsia="Times New Roman" w:hAnsi="Times New Roman"/>
                  <w:sz w:val="18"/>
                  <w:szCs w:val="18"/>
                  <w:color w:val="0000FF"/>
                  <w:w w:val="99"/>
                </w:rPr>
                <w:t>Trinity Acquisition plc, Willis Towers Watson Public Limited Company, the other guarantors</w:t>
              </w:r>
            </w:hyperlink>
          </w:p>
        </w:tc>
        <w:tc>
          <w:tcPr>
            <w:tcW w:w="12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CFF0FC"/>
            </w:tcBorders>
            <w:gridSpan w:val="2"/>
            <w:shd w:val="clear" w:color="auto" w:fill="CFF0FC"/>
          </w:tcPr>
          <w:p>
            <w:pPr>
              <w:ind w:left="140"/>
              <w:spacing w:after="0" w:line="195" w:lineRule="exact"/>
              <w:rPr>
                <w:sz w:val="20"/>
                <w:szCs w:val="20"/>
                <w:color w:val="auto"/>
              </w:rPr>
            </w:pPr>
            <w:r>
              <w:rPr>
                <w:rFonts w:ascii="Times New Roman" w:cs="Times New Roman" w:eastAsia="Times New Roman" w:hAnsi="Times New Roman"/>
                <w:sz w:val="18"/>
                <w:szCs w:val="18"/>
                <w:color w:val="auto"/>
              </w:rPr>
              <w:t>2021</w:t>
            </w: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60" w:type="dxa"/>
            <w:vAlign w:val="bottom"/>
            <w:gridSpan w:val="32"/>
            <w:shd w:val="clear" w:color="auto" w:fill="CFF0FC"/>
          </w:tcPr>
          <w:p>
            <w:pPr>
              <w:spacing w:after="0" w:line="195" w:lineRule="exact"/>
              <w:rPr>
                <w:rFonts w:ascii="Times New Roman" w:cs="Times New Roman" w:eastAsia="Times New Roman" w:hAnsi="Times New Roman"/>
                <w:sz w:val="18"/>
                <w:szCs w:val="18"/>
                <w:color w:val="0000FF"/>
              </w:rPr>
            </w:pPr>
            <w:hyperlink r:id="rId724">
              <w:r>
                <w:rPr>
                  <w:rFonts w:ascii="Times New Roman" w:cs="Times New Roman" w:eastAsia="Times New Roman" w:hAnsi="Times New Roman"/>
                  <w:sz w:val="18"/>
                  <w:szCs w:val="18"/>
                  <w:color w:val="0000FF"/>
                </w:rPr>
                <w:t>party thereto and Barclays Bank PLC, as Administrative Agent</w:t>
              </w:r>
            </w:hyperlink>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tcBorders>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Borders>
              <w:right w:val="single" w:sz="8" w:color="CFF0FC"/>
            </w:tcBorders>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0000FF"/>
            </w:tcBorders>
            <w:shd w:val="clear" w:color="auto" w:fill="CFF0FC"/>
          </w:tcPr>
          <w:p>
            <w:pPr>
              <w:spacing w:after="0"/>
              <w:rPr>
                <w:sz w:val="2"/>
                <w:szCs w:val="2"/>
                <w:color w:val="auto"/>
              </w:rPr>
            </w:pPr>
          </w:p>
        </w:tc>
        <w:tc>
          <w:tcPr>
            <w:tcW w:w="720" w:type="dxa"/>
            <w:vAlign w:val="bottom"/>
            <w:tcBorders>
              <w:top w:val="single" w:sz="8" w:color="0000FF"/>
            </w:tcBorders>
            <w:shd w:val="clear" w:color="auto" w:fill="CFF0FC"/>
          </w:tcPr>
          <w:p>
            <w:pPr>
              <w:spacing w:after="0"/>
              <w:rPr>
                <w:sz w:val="2"/>
                <w:szCs w:val="2"/>
                <w:color w:val="auto"/>
              </w:rPr>
            </w:pPr>
          </w:p>
        </w:tc>
        <w:tc>
          <w:tcPr>
            <w:tcW w:w="460" w:type="dxa"/>
            <w:vAlign w:val="bottom"/>
            <w:tcBorders>
              <w:top w:val="single" w:sz="8" w:color="0000FF"/>
            </w:tcBorders>
            <w:shd w:val="clear" w:color="auto" w:fill="CFF0FC"/>
          </w:tcPr>
          <w:p>
            <w:pPr>
              <w:spacing w:after="0"/>
              <w:rPr>
                <w:sz w:val="2"/>
                <w:szCs w:val="2"/>
                <w:color w:val="auto"/>
              </w:rPr>
            </w:pPr>
          </w:p>
        </w:tc>
        <w:tc>
          <w:tcPr>
            <w:tcW w:w="38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138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72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6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0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660" w:type="dxa"/>
            <w:vAlign w:val="bottom"/>
            <w:tcBorders>
              <w:top w:val="single" w:sz="8" w:color="CFF0FC"/>
              <w:right w:val="single" w:sz="8" w:color="CFF0FC"/>
            </w:tcBorders>
            <w:shd w:val="clear" w:color="auto" w:fill="CFF0FC"/>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6"/>
                <w:szCs w:val="16"/>
                <w:color w:val="auto"/>
              </w:rPr>
            </w:pPr>
          </w:p>
        </w:tc>
        <w:tc>
          <w:tcPr>
            <w:tcW w:w="6400" w:type="dxa"/>
            <w:vAlign w:val="bottom"/>
            <w:tcBorders>
              <w:bottom w:val="single" w:sz="8" w:color="0000FF"/>
            </w:tcBorders>
            <w:gridSpan w:val="20"/>
          </w:tcPr>
          <w:p>
            <w:pPr>
              <w:spacing w:after="0" w:line="189" w:lineRule="exact"/>
              <w:rPr>
                <w:rFonts w:ascii="Times New Roman" w:cs="Times New Roman" w:eastAsia="Times New Roman" w:hAnsi="Times New Roman"/>
                <w:sz w:val="18"/>
                <w:szCs w:val="18"/>
                <w:color w:val="0000FF"/>
              </w:rPr>
            </w:pPr>
            <w:hyperlink r:id="rId725">
              <w:r>
                <w:rPr>
                  <w:rFonts w:ascii="Times New Roman" w:cs="Times New Roman" w:eastAsia="Times New Roman" w:hAnsi="Times New Roman"/>
                  <w:sz w:val="18"/>
                  <w:szCs w:val="18"/>
                  <w:color w:val="0000FF"/>
                </w:rPr>
                <w:t>Deed Poll of Assumption, dated as of December 31, 2009, by and between Willis Group</w:t>
              </w:r>
            </w:hyperlink>
          </w:p>
        </w:tc>
        <w:tc>
          <w:tcPr>
            <w:tcW w:w="460" w:type="dxa"/>
            <w:vAlign w:val="bottom"/>
            <w:gridSpan w:val="12"/>
          </w:tcPr>
          <w:p>
            <w:pPr>
              <w:spacing w:after="0"/>
              <w:rPr>
                <w:sz w:val="16"/>
                <w:szCs w:val="16"/>
                <w:color w:val="auto"/>
              </w:rPr>
            </w:pPr>
          </w:p>
        </w:tc>
        <w:tc>
          <w:tcPr>
            <w:tcW w:w="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gridSpan w:val="2"/>
          </w:tcPr>
          <w:p>
            <w:pPr>
              <w:jc w:val="center"/>
              <w:ind w:left="50"/>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1220" w:type="dxa"/>
            <w:vAlign w:val="bottom"/>
            <w:gridSpan w:val="3"/>
          </w:tcPr>
          <w:p>
            <w:pPr>
              <w:ind w:left="140"/>
              <w:spacing w:after="0" w:line="189" w:lineRule="exact"/>
              <w:rPr>
                <w:sz w:val="20"/>
                <w:szCs w:val="20"/>
                <w:color w:val="auto"/>
              </w:rPr>
            </w:pPr>
            <w:r>
              <w:rPr>
                <w:rFonts w:ascii="Times New Roman" w:cs="Times New Roman" w:eastAsia="Times New Roman" w:hAnsi="Times New Roman"/>
                <w:sz w:val="18"/>
                <w:szCs w:val="18"/>
                <w:color w:val="auto"/>
              </w:rPr>
              <w:t>January 4,</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60" w:type="dxa"/>
            <w:vAlign w:val="bottom"/>
            <w:gridSpan w:val="32"/>
          </w:tcPr>
          <w:p>
            <w:pPr>
              <w:spacing w:after="0" w:line="195" w:lineRule="exact"/>
              <w:rPr>
                <w:rFonts w:ascii="Times New Roman" w:cs="Times New Roman" w:eastAsia="Times New Roman" w:hAnsi="Times New Roman"/>
                <w:sz w:val="18"/>
                <w:szCs w:val="18"/>
                <w:color w:val="0000FF"/>
              </w:rPr>
            </w:pPr>
            <w:hyperlink r:id="rId725">
              <w:r>
                <w:rPr>
                  <w:rFonts w:ascii="Times New Roman" w:cs="Times New Roman" w:eastAsia="Times New Roman" w:hAnsi="Times New Roman"/>
                  <w:sz w:val="18"/>
                  <w:szCs w:val="18"/>
                  <w:color w:val="0000FF"/>
                </w:rPr>
                <w:t>Holdings Limited and Willis Group Holdings Public Limited Company</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gridSpan w:val="2"/>
          </w:tcPr>
          <w:p>
            <w:pPr>
              <w:ind w:left="140"/>
              <w:spacing w:after="0" w:line="195" w:lineRule="exact"/>
              <w:rPr>
                <w:sz w:val="20"/>
                <w:szCs w:val="20"/>
                <w:color w:val="auto"/>
              </w:rPr>
            </w:pPr>
            <w:r>
              <w:rPr>
                <w:rFonts w:ascii="Times New Roman" w:cs="Times New Roman" w:eastAsia="Times New Roman" w:hAnsi="Times New Roman"/>
                <w:sz w:val="18"/>
                <w:szCs w:val="18"/>
                <w:color w:val="auto"/>
              </w:rPr>
              <w:t>2010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3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Borders>
              <w:right w:val="single" w:sz="8" w:color="CFF0FC"/>
            </w:tcBorders>
          </w:tcPr>
          <w:p>
            <w:pPr>
              <w:spacing w:after="0"/>
              <w:rPr>
                <w:sz w:val="16"/>
                <w:szCs w:val="16"/>
                <w:color w:val="auto"/>
              </w:rPr>
            </w:pPr>
          </w:p>
        </w:tc>
        <w:tc>
          <w:tcPr>
            <w:tcW w:w="6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140" w:type="dxa"/>
            <w:vAlign w:val="bottom"/>
            <w:tcBorders>
              <w:bottom w:val="single" w:sz="8" w:color="CFF0FC"/>
            </w:tcBorders>
            <w:shd w:val="clear" w:color="auto" w:fill="CFF0FC"/>
          </w:tcPr>
          <w:p>
            <w:pPr>
              <w:spacing w:after="0"/>
              <w:rPr>
                <w:sz w:val="16"/>
                <w:szCs w:val="16"/>
                <w:color w:val="auto"/>
              </w:rPr>
            </w:pPr>
          </w:p>
        </w:tc>
        <w:tc>
          <w:tcPr>
            <w:tcW w:w="6740" w:type="dxa"/>
            <w:vAlign w:val="bottom"/>
            <w:tcBorders>
              <w:bottom w:val="single" w:sz="8" w:color="0000FF"/>
            </w:tcBorders>
            <w:gridSpan w:val="31"/>
            <w:shd w:val="clear" w:color="auto" w:fill="CFF0FC"/>
          </w:tcPr>
          <w:p>
            <w:pPr>
              <w:spacing w:after="0" w:line="189" w:lineRule="exact"/>
              <w:rPr>
                <w:rFonts w:ascii="Times New Roman" w:cs="Times New Roman" w:eastAsia="Times New Roman" w:hAnsi="Times New Roman"/>
                <w:sz w:val="18"/>
                <w:szCs w:val="18"/>
                <w:color w:val="0000FF"/>
              </w:rPr>
            </w:pPr>
            <w:hyperlink r:id="rId726">
              <w:r>
                <w:rPr>
                  <w:rFonts w:ascii="Times New Roman" w:cs="Times New Roman" w:eastAsia="Times New Roman" w:hAnsi="Times New Roman"/>
                  <w:sz w:val="18"/>
                  <w:szCs w:val="18"/>
                  <w:color w:val="0000FF"/>
                </w:rPr>
                <w:t>Security and Asset Purchase Agreement, dated as of August 12, 2021, by and between Willis</w:t>
              </w:r>
            </w:hyperlink>
          </w:p>
        </w:tc>
        <w:tc>
          <w:tcPr>
            <w:tcW w:w="12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tcBorders>
              <w:bottom w:val="single" w:sz="8" w:color="CFF0FC"/>
            </w:tcBorders>
            <w:gridSpan w:val="2"/>
            <w:shd w:val="clear" w:color="auto" w:fill="CFF0FC"/>
          </w:tcPr>
          <w:p>
            <w:pPr>
              <w:jc w:val="center"/>
              <w:ind w:left="5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220" w:type="dxa"/>
            <w:vAlign w:val="bottom"/>
            <w:tcBorders>
              <w:bottom w:val="single" w:sz="8" w:color="CFF0FC"/>
            </w:tcBorders>
            <w:gridSpan w:val="3"/>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August 16,</w:t>
            </w:r>
          </w:p>
        </w:tc>
        <w:tc>
          <w:tcPr>
            <w:tcW w:w="12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right w:val="single" w:sz="8" w:color="CFF0FC"/>
            </w:tcBorders>
            <w:shd w:val="clear" w:color="auto" w:fill="CFF0FC"/>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60" w:type="dxa"/>
            <w:vAlign w:val="bottom"/>
            <w:gridSpan w:val="32"/>
            <w:shd w:val="clear" w:color="auto" w:fill="CFF0FC"/>
          </w:tcPr>
          <w:p>
            <w:pPr>
              <w:spacing w:after="0" w:line="195" w:lineRule="exact"/>
              <w:rPr>
                <w:rFonts w:ascii="Times New Roman" w:cs="Times New Roman" w:eastAsia="Times New Roman" w:hAnsi="Times New Roman"/>
                <w:sz w:val="18"/>
                <w:szCs w:val="18"/>
                <w:color w:val="0000FF"/>
              </w:rPr>
            </w:pPr>
            <w:hyperlink r:id="rId726">
              <w:r>
                <w:rPr>
                  <w:rFonts w:ascii="Times New Roman" w:cs="Times New Roman" w:eastAsia="Times New Roman" w:hAnsi="Times New Roman"/>
                  <w:sz w:val="18"/>
                  <w:szCs w:val="18"/>
                  <w:color w:val="0000FF"/>
                </w:rPr>
                <w:t>Towers Watson plc and Arthur J. Gallagher &amp; Co.</w:t>
              </w:r>
            </w:hyperlink>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ind w:left="140"/>
              <w:spacing w:after="0" w:line="195" w:lineRule="exact"/>
              <w:rPr>
                <w:sz w:val="20"/>
                <w:szCs w:val="20"/>
                <w:color w:val="auto"/>
              </w:rPr>
            </w:pPr>
            <w:r>
              <w:rPr>
                <w:rFonts w:ascii="Times New Roman" w:cs="Times New Roman" w:eastAsia="Times New Roman" w:hAnsi="Times New Roman"/>
                <w:sz w:val="18"/>
                <w:szCs w:val="18"/>
                <w:color w:val="auto"/>
              </w:rPr>
              <w:t>2021</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tcBorders>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Borders>
              <w:right w:val="single" w:sz="8" w:color="CFF0FC"/>
            </w:tcBorders>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0000FF"/>
            </w:tcBorders>
            <w:shd w:val="clear" w:color="auto" w:fill="CFF0FC"/>
          </w:tcPr>
          <w:p>
            <w:pPr>
              <w:spacing w:after="0"/>
              <w:rPr>
                <w:sz w:val="2"/>
                <w:szCs w:val="2"/>
                <w:color w:val="auto"/>
              </w:rPr>
            </w:pPr>
          </w:p>
        </w:tc>
        <w:tc>
          <w:tcPr>
            <w:tcW w:w="720" w:type="dxa"/>
            <w:vAlign w:val="bottom"/>
            <w:tcBorders>
              <w:top w:val="single" w:sz="8" w:color="0000FF"/>
            </w:tcBorders>
            <w:shd w:val="clear" w:color="auto" w:fill="CFF0FC"/>
          </w:tcPr>
          <w:p>
            <w:pPr>
              <w:spacing w:after="0"/>
              <w:rPr>
                <w:sz w:val="2"/>
                <w:szCs w:val="2"/>
                <w:color w:val="auto"/>
              </w:rPr>
            </w:pPr>
          </w:p>
        </w:tc>
        <w:tc>
          <w:tcPr>
            <w:tcW w:w="460" w:type="dxa"/>
            <w:vAlign w:val="bottom"/>
            <w:tcBorders>
              <w:top w:val="single" w:sz="8" w:color="0000FF"/>
            </w:tcBorders>
            <w:shd w:val="clear" w:color="auto" w:fill="CFF0FC"/>
          </w:tcPr>
          <w:p>
            <w:pPr>
              <w:spacing w:after="0"/>
              <w:rPr>
                <w:sz w:val="2"/>
                <w:szCs w:val="2"/>
                <w:color w:val="auto"/>
              </w:rPr>
            </w:pPr>
          </w:p>
        </w:tc>
        <w:tc>
          <w:tcPr>
            <w:tcW w:w="38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138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72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6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0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660" w:type="dxa"/>
            <w:vAlign w:val="bottom"/>
            <w:tcBorders>
              <w:top w:val="single" w:sz="8" w:color="CFF0FC"/>
              <w:right w:val="single" w:sz="8" w:color="CFF0FC"/>
            </w:tcBorders>
            <w:shd w:val="clear" w:color="auto" w:fill="CFF0FC"/>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6"/>
                <w:szCs w:val="16"/>
                <w:color w:val="auto"/>
              </w:rPr>
            </w:pPr>
          </w:p>
        </w:tc>
        <w:tc>
          <w:tcPr>
            <w:tcW w:w="6580" w:type="dxa"/>
            <w:vAlign w:val="bottom"/>
            <w:tcBorders>
              <w:bottom w:val="single" w:sz="8" w:color="0000FF"/>
            </w:tcBorders>
            <w:gridSpan w:val="25"/>
          </w:tcPr>
          <w:p>
            <w:pPr>
              <w:spacing w:after="0" w:line="189" w:lineRule="exact"/>
              <w:rPr>
                <w:rFonts w:ascii="Times New Roman" w:cs="Times New Roman" w:eastAsia="Times New Roman" w:hAnsi="Times New Roman"/>
                <w:sz w:val="18"/>
                <w:szCs w:val="18"/>
                <w:color w:val="0000FF"/>
                <w:w w:val="99"/>
              </w:rPr>
            </w:pPr>
            <w:hyperlink r:id="rId727">
              <w:r>
                <w:rPr>
                  <w:rFonts w:ascii="Times New Roman" w:cs="Times New Roman" w:eastAsia="Times New Roman" w:hAnsi="Times New Roman"/>
                  <w:sz w:val="18"/>
                  <w:szCs w:val="18"/>
                  <w:color w:val="0000FF"/>
                  <w:w w:val="99"/>
                </w:rPr>
                <w:t>Letter Agreement, dated December 1, 2021, by and between Willis Towers Watson plc and</w:t>
              </w:r>
            </w:hyperlink>
          </w:p>
        </w:tc>
        <w:tc>
          <w:tcPr>
            <w:tcW w:w="280" w:type="dxa"/>
            <w:vAlign w:val="bottom"/>
            <w:gridSpan w:val="7"/>
          </w:tcPr>
          <w:p>
            <w:pPr>
              <w:spacing w:after="0"/>
              <w:rPr>
                <w:sz w:val="16"/>
                <w:szCs w:val="16"/>
                <w:color w:val="auto"/>
              </w:rPr>
            </w:pPr>
          </w:p>
        </w:tc>
        <w:tc>
          <w:tcPr>
            <w:tcW w:w="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gridSpan w:val="2"/>
          </w:tcPr>
          <w:p>
            <w:pPr>
              <w:jc w:val="center"/>
              <w:ind w:left="5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220" w:type="dxa"/>
            <w:vAlign w:val="bottom"/>
            <w:gridSpan w:val="3"/>
          </w:tcPr>
          <w:p>
            <w:pPr>
              <w:ind w:left="140"/>
              <w:spacing w:after="0" w:line="189" w:lineRule="exact"/>
              <w:rPr>
                <w:sz w:val="20"/>
                <w:szCs w:val="20"/>
                <w:color w:val="auto"/>
              </w:rPr>
            </w:pPr>
            <w:r>
              <w:rPr>
                <w:rFonts w:ascii="Times New Roman" w:cs="Times New Roman" w:eastAsia="Times New Roman" w:hAnsi="Times New Roman"/>
                <w:sz w:val="18"/>
                <w:szCs w:val="18"/>
                <w:color w:val="auto"/>
              </w:rPr>
              <w:t>December 6,</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60" w:type="dxa"/>
            <w:vAlign w:val="bottom"/>
            <w:gridSpan w:val="32"/>
          </w:tcPr>
          <w:p>
            <w:pPr>
              <w:spacing w:after="0" w:line="195" w:lineRule="exact"/>
              <w:rPr>
                <w:rFonts w:ascii="Times New Roman" w:cs="Times New Roman" w:eastAsia="Times New Roman" w:hAnsi="Times New Roman"/>
                <w:sz w:val="18"/>
                <w:szCs w:val="18"/>
                <w:color w:val="0000FF"/>
              </w:rPr>
            </w:pPr>
            <w:hyperlink r:id="rId727">
              <w:r>
                <w:rPr>
                  <w:rFonts w:ascii="Times New Roman" w:cs="Times New Roman" w:eastAsia="Times New Roman" w:hAnsi="Times New Roman"/>
                  <w:sz w:val="18"/>
                  <w:szCs w:val="18"/>
                  <w:color w:val="0000FF"/>
                </w:rPr>
                <w:t>Arthur J. Gallagher &amp; Co.</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gridSpan w:val="2"/>
          </w:tcPr>
          <w:p>
            <w:pPr>
              <w:ind w:left="140"/>
              <w:spacing w:after="0" w:line="195" w:lineRule="exact"/>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Borders>
              <w:right w:val="single" w:sz="8" w:color="CFF0FC"/>
            </w:tcBorders>
          </w:tcPr>
          <w:p>
            <w:pPr>
              <w:spacing w:after="0"/>
              <w:rPr>
                <w:sz w:val="16"/>
                <w:szCs w:val="16"/>
                <w:color w:val="auto"/>
              </w:rPr>
            </w:pPr>
          </w:p>
        </w:tc>
        <w:tc>
          <w:tcPr>
            <w:tcW w:w="64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10.6†</w:t>
            </w:r>
          </w:p>
        </w:tc>
        <w:tc>
          <w:tcPr>
            <w:tcW w:w="140" w:type="dxa"/>
            <w:vAlign w:val="bottom"/>
            <w:shd w:val="clear" w:color="auto" w:fill="CFF0FC"/>
          </w:tcPr>
          <w:p>
            <w:pPr>
              <w:spacing w:after="0"/>
              <w:rPr>
                <w:sz w:val="16"/>
                <w:szCs w:val="16"/>
                <w:color w:val="auto"/>
              </w:rPr>
            </w:pPr>
          </w:p>
        </w:tc>
        <w:tc>
          <w:tcPr>
            <w:tcW w:w="6860" w:type="dxa"/>
            <w:vAlign w:val="bottom"/>
            <w:gridSpan w:val="32"/>
            <w:shd w:val="clear" w:color="auto" w:fill="CFF0FC"/>
          </w:tcPr>
          <w:p>
            <w:pPr>
              <w:spacing w:after="0" w:line="189" w:lineRule="exact"/>
              <w:rPr>
                <w:rFonts w:ascii="Times New Roman" w:cs="Times New Roman" w:eastAsia="Times New Roman" w:hAnsi="Times New Roman"/>
                <w:sz w:val="18"/>
                <w:szCs w:val="18"/>
                <w:color w:val="0000FF"/>
              </w:rPr>
            </w:pPr>
            <w:hyperlink r:id="rId728">
              <w:r>
                <w:rPr>
                  <w:rFonts w:ascii="Times New Roman" w:cs="Times New Roman" w:eastAsia="Times New Roman" w:hAnsi="Times New Roman"/>
                  <w:sz w:val="18"/>
                  <w:szCs w:val="18"/>
                  <w:color w:val="0000FF"/>
                </w:rPr>
                <w:t>Willis Towers Watson Public Limited Company 2012 Equity Incentive Plan</w:t>
              </w:r>
            </w:hyperlink>
          </w:p>
        </w:tc>
        <w:tc>
          <w:tcPr>
            <w:tcW w:w="54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DEF14</w:t>
            </w:r>
          </w:p>
        </w:tc>
        <w:tc>
          <w:tcPr>
            <w:tcW w:w="140" w:type="dxa"/>
            <w:vAlign w:val="bottom"/>
            <w:shd w:val="clear" w:color="auto" w:fill="CFF0FC"/>
          </w:tcPr>
          <w:p>
            <w:pPr>
              <w:spacing w:after="0"/>
              <w:rPr>
                <w:sz w:val="16"/>
                <w:szCs w:val="16"/>
                <w:color w:val="auto"/>
              </w:rPr>
            </w:pPr>
          </w:p>
        </w:tc>
        <w:tc>
          <w:tcPr>
            <w:tcW w:w="44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A</w:t>
            </w:r>
          </w:p>
        </w:tc>
        <w:tc>
          <w:tcPr>
            <w:tcW w:w="1220" w:type="dxa"/>
            <w:vAlign w:val="bottom"/>
            <w:gridSpan w:val="3"/>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April 28, 2022</w:t>
            </w:r>
          </w:p>
        </w:tc>
        <w:tc>
          <w:tcPr>
            <w:tcW w:w="120" w:type="dxa"/>
            <w:vAlign w:val="bottom"/>
            <w:shd w:val="clear" w:color="auto" w:fill="CFF0FC"/>
          </w:tcPr>
          <w:p>
            <w:pPr>
              <w:spacing w:after="0"/>
              <w:rPr>
                <w:sz w:val="16"/>
                <w:szCs w:val="16"/>
                <w:color w:val="auto"/>
              </w:rPr>
            </w:pPr>
          </w:p>
        </w:tc>
        <w:tc>
          <w:tcPr>
            <w:tcW w:w="660" w:type="dxa"/>
            <w:vAlign w:val="bottom"/>
            <w:tcBorders>
              <w:right w:val="single" w:sz="8" w:color="CFF0FC"/>
            </w:tcBorders>
            <w:shd w:val="clear" w:color="auto" w:fill="CFF0FC"/>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0" w:type="dxa"/>
            <w:vAlign w:val="bottom"/>
            <w:tcBorders>
              <w:right w:val="single" w:sz="8" w:color="CFF0FC"/>
            </w:tcBorders>
          </w:tcPr>
          <w:p>
            <w:pPr>
              <w:spacing w:after="0"/>
              <w:rPr>
                <w:sz w:val="21"/>
                <w:szCs w:val="21"/>
                <w:color w:val="auto"/>
              </w:rPr>
            </w:pPr>
          </w:p>
        </w:tc>
        <w:tc>
          <w:tcPr>
            <w:tcW w:w="640" w:type="dxa"/>
            <w:vAlign w:val="bottom"/>
            <w:tcBorders>
              <w:top w:val="single" w:sz="8" w:color="CFF0FC"/>
            </w:tcBorders>
            <w:shd w:val="clear" w:color="auto" w:fill="CFF0FC"/>
          </w:tcPr>
          <w:p>
            <w:pPr>
              <w:spacing w:after="0"/>
              <w:rPr>
                <w:sz w:val="21"/>
                <w:szCs w:val="21"/>
                <w:color w:val="auto"/>
              </w:rPr>
            </w:pPr>
          </w:p>
        </w:tc>
        <w:tc>
          <w:tcPr>
            <w:tcW w:w="140" w:type="dxa"/>
            <w:vAlign w:val="bottom"/>
            <w:tcBorders>
              <w:top w:val="single" w:sz="8" w:color="CFF0FC"/>
            </w:tcBorders>
            <w:shd w:val="clear" w:color="auto" w:fill="CFF0FC"/>
          </w:tcPr>
          <w:p>
            <w:pPr>
              <w:spacing w:after="0"/>
              <w:rPr>
                <w:sz w:val="21"/>
                <w:szCs w:val="21"/>
                <w:color w:val="auto"/>
              </w:rPr>
            </w:pPr>
          </w:p>
        </w:tc>
        <w:tc>
          <w:tcPr>
            <w:tcW w:w="320" w:type="dxa"/>
            <w:vAlign w:val="bottom"/>
            <w:tcBorders>
              <w:top w:val="single" w:sz="8" w:color="0000FF"/>
            </w:tcBorders>
            <w:shd w:val="clear" w:color="auto" w:fill="CFF0FC"/>
          </w:tcPr>
          <w:p>
            <w:pPr>
              <w:spacing w:after="0"/>
              <w:rPr>
                <w:sz w:val="21"/>
                <w:szCs w:val="21"/>
                <w:color w:val="auto"/>
              </w:rPr>
            </w:pPr>
          </w:p>
        </w:tc>
        <w:tc>
          <w:tcPr>
            <w:tcW w:w="720" w:type="dxa"/>
            <w:vAlign w:val="bottom"/>
            <w:tcBorders>
              <w:top w:val="single" w:sz="8" w:color="0000FF"/>
            </w:tcBorders>
            <w:shd w:val="clear" w:color="auto" w:fill="CFF0FC"/>
          </w:tcPr>
          <w:p>
            <w:pPr>
              <w:spacing w:after="0"/>
              <w:rPr>
                <w:sz w:val="21"/>
                <w:szCs w:val="21"/>
                <w:color w:val="auto"/>
              </w:rPr>
            </w:pPr>
          </w:p>
        </w:tc>
        <w:tc>
          <w:tcPr>
            <w:tcW w:w="460" w:type="dxa"/>
            <w:vAlign w:val="bottom"/>
            <w:tcBorders>
              <w:top w:val="single" w:sz="8" w:color="0000FF"/>
            </w:tcBorders>
            <w:shd w:val="clear" w:color="auto" w:fill="CFF0FC"/>
          </w:tcPr>
          <w:p>
            <w:pPr>
              <w:spacing w:after="0"/>
              <w:rPr>
                <w:sz w:val="21"/>
                <w:szCs w:val="21"/>
                <w:color w:val="auto"/>
              </w:rPr>
            </w:pPr>
          </w:p>
        </w:tc>
        <w:tc>
          <w:tcPr>
            <w:tcW w:w="380" w:type="dxa"/>
            <w:vAlign w:val="bottom"/>
            <w:tcBorders>
              <w:top w:val="single" w:sz="8" w:color="0000FF"/>
            </w:tcBorders>
            <w:shd w:val="clear" w:color="auto" w:fill="CFF0FC"/>
          </w:tcPr>
          <w:p>
            <w:pPr>
              <w:spacing w:after="0"/>
              <w:rPr>
                <w:sz w:val="21"/>
                <w:szCs w:val="21"/>
                <w:color w:val="auto"/>
              </w:rPr>
            </w:pPr>
          </w:p>
        </w:tc>
        <w:tc>
          <w:tcPr>
            <w:tcW w:w="120" w:type="dxa"/>
            <w:vAlign w:val="bottom"/>
            <w:tcBorders>
              <w:top w:val="single" w:sz="8" w:color="0000FF"/>
            </w:tcBorders>
            <w:shd w:val="clear" w:color="auto" w:fill="CFF0FC"/>
          </w:tcPr>
          <w:p>
            <w:pPr>
              <w:spacing w:after="0"/>
              <w:rPr>
                <w:sz w:val="21"/>
                <w:szCs w:val="21"/>
                <w:color w:val="auto"/>
              </w:rPr>
            </w:pPr>
          </w:p>
        </w:tc>
        <w:tc>
          <w:tcPr>
            <w:tcW w:w="1380" w:type="dxa"/>
            <w:vAlign w:val="bottom"/>
            <w:tcBorders>
              <w:top w:val="single" w:sz="8" w:color="0000FF"/>
            </w:tcBorders>
            <w:shd w:val="clear" w:color="auto" w:fill="CFF0FC"/>
          </w:tcPr>
          <w:p>
            <w:pPr>
              <w:spacing w:after="0"/>
              <w:rPr>
                <w:sz w:val="21"/>
                <w:szCs w:val="21"/>
                <w:color w:val="auto"/>
              </w:rPr>
            </w:pPr>
          </w:p>
        </w:tc>
        <w:tc>
          <w:tcPr>
            <w:tcW w:w="220" w:type="dxa"/>
            <w:vAlign w:val="bottom"/>
            <w:tcBorders>
              <w:top w:val="single" w:sz="8" w:color="0000FF"/>
            </w:tcBorders>
            <w:shd w:val="clear" w:color="auto" w:fill="CFF0FC"/>
          </w:tcPr>
          <w:p>
            <w:pPr>
              <w:spacing w:after="0"/>
              <w:rPr>
                <w:sz w:val="21"/>
                <w:szCs w:val="21"/>
                <w:color w:val="auto"/>
              </w:rPr>
            </w:pPr>
          </w:p>
        </w:tc>
        <w:tc>
          <w:tcPr>
            <w:tcW w:w="220" w:type="dxa"/>
            <w:vAlign w:val="bottom"/>
            <w:tcBorders>
              <w:top w:val="single" w:sz="8" w:color="0000FF"/>
            </w:tcBorders>
            <w:shd w:val="clear" w:color="auto" w:fill="CFF0FC"/>
          </w:tcPr>
          <w:p>
            <w:pPr>
              <w:spacing w:after="0"/>
              <w:rPr>
                <w:sz w:val="21"/>
                <w:szCs w:val="21"/>
                <w:color w:val="auto"/>
              </w:rPr>
            </w:pPr>
          </w:p>
        </w:tc>
        <w:tc>
          <w:tcPr>
            <w:tcW w:w="720" w:type="dxa"/>
            <w:vAlign w:val="bottom"/>
            <w:tcBorders>
              <w:top w:val="single" w:sz="8" w:color="0000FF"/>
            </w:tcBorders>
            <w:shd w:val="clear" w:color="auto" w:fill="CFF0FC"/>
          </w:tcPr>
          <w:p>
            <w:pPr>
              <w:spacing w:after="0"/>
              <w:rPr>
                <w:sz w:val="21"/>
                <w:szCs w:val="21"/>
                <w:color w:val="auto"/>
              </w:rPr>
            </w:pPr>
          </w:p>
        </w:tc>
        <w:tc>
          <w:tcPr>
            <w:tcW w:w="140" w:type="dxa"/>
            <w:vAlign w:val="bottom"/>
            <w:tcBorders>
              <w:top w:val="single" w:sz="8" w:color="0000FF"/>
            </w:tcBorders>
            <w:shd w:val="clear" w:color="auto" w:fill="CFF0FC"/>
          </w:tcPr>
          <w:p>
            <w:pPr>
              <w:spacing w:after="0"/>
              <w:rPr>
                <w:sz w:val="21"/>
                <w:szCs w:val="21"/>
                <w:color w:val="auto"/>
              </w:rPr>
            </w:pPr>
          </w:p>
        </w:tc>
        <w:tc>
          <w:tcPr>
            <w:tcW w:w="60" w:type="dxa"/>
            <w:vAlign w:val="bottom"/>
            <w:tcBorders>
              <w:top w:val="single" w:sz="8" w:color="0000FF"/>
            </w:tcBorders>
            <w:shd w:val="clear" w:color="auto" w:fill="CFF0FC"/>
          </w:tcPr>
          <w:p>
            <w:pPr>
              <w:spacing w:after="0"/>
              <w:rPr>
                <w:sz w:val="21"/>
                <w:szCs w:val="21"/>
                <w:color w:val="auto"/>
              </w:rPr>
            </w:pPr>
          </w:p>
        </w:tc>
        <w:tc>
          <w:tcPr>
            <w:tcW w:w="300" w:type="dxa"/>
            <w:vAlign w:val="bottom"/>
            <w:tcBorders>
              <w:top w:val="single" w:sz="8" w:color="0000FF"/>
            </w:tcBorders>
            <w:shd w:val="clear" w:color="auto" w:fill="CFF0FC"/>
          </w:tcPr>
          <w:p>
            <w:pPr>
              <w:spacing w:after="0"/>
              <w:rPr>
                <w:sz w:val="21"/>
                <w:szCs w:val="21"/>
                <w:color w:val="auto"/>
              </w:rPr>
            </w:pPr>
          </w:p>
        </w:tc>
        <w:tc>
          <w:tcPr>
            <w:tcW w:w="100" w:type="dxa"/>
            <w:vAlign w:val="bottom"/>
            <w:tcBorders>
              <w:top w:val="single" w:sz="8" w:color="0000FF"/>
            </w:tcBorders>
            <w:shd w:val="clear" w:color="auto" w:fill="CFF0FC"/>
          </w:tcPr>
          <w:p>
            <w:pPr>
              <w:spacing w:after="0"/>
              <w:rPr>
                <w:sz w:val="21"/>
                <w:szCs w:val="21"/>
                <w:color w:val="auto"/>
              </w:rPr>
            </w:pPr>
          </w:p>
        </w:tc>
        <w:tc>
          <w:tcPr>
            <w:tcW w:w="320" w:type="dxa"/>
            <w:vAlign w:val="bottom"/>
            <w:tcBorders>
              <w:top w:val="single" w:sz="8" w:color="0000FF"/>
            </w:tcBorders>
            <w:shd w:val="clear" w:color="auto" w:fill="CFF0FC"/>
          </w:tcPr>
          <w:p>
            <w:pPr>
              <w:spacing w:after="0"/>
              <w:rPr>
                <w:sz w:val="21"/>
                <w:szCs w:val="21"/>
                <w:color w:val="auto"/>
              </w:rPr>
            </w:pPr>
          </w:p>
        </w:tc>
        <w:tc>
          <w:tcPr>
            <w:tcW w:w="180" w:type="dxa"/>
            <w:vAlign w:val="bottom"/>
            <w:tcBorders>
              <w:top w:val="single" w:sz="8" w:color="CFF0FC"/>
            </w:tcBorders>
            <w:shd w:val="clear" w:color="auto" w:fill="CFF0FC"/>
          </w:tcPr>
          <w:p>
            <w:pPr>
              <w:spacing w:after="0"/>
              <w:rPr>
                <w:sz w:val="21"/>
                <w:szCs w:val="21"/>
                <w:color w:val="auto"/>
              </w:rPr>
            </w:pPr>
          </w:p>
        </w:tc>
        <w:tc>
          <w:tcPr>
            <w:tcW w:w="40" w:type="dxa"/>
            <w:vAlign w:val="bottom"/>
            <w:tcBorders>
              <w:top w:val="single" w:sz="8" w:color="CFF0FC"/>
            </w:tcBorders>
            <w:shd w:val="clear" w:color="auto" w:fill="CFF0FC"/>
          </w:tcPr>
          <w:p>
            <w:pPr>
              <w:spacing w:after="0"/>
              <w:rPr>
                <w:sz w:val="21"/>
                <w:szCs w:val="21"/>
                <w:color w:val="auto"/>
              </w:rPr>
            </w:pPr>
          </w:p>
        </w:tc>
        <w:tc>
          <w:tcPr>
            <w:tcW w:w="62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6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6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4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4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6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120" w:type="dxa"/>
            <w:vAlign w:val="bottom"/>
            <w:tcBorders>
              <w:top w:val="single" w:sz="8" w:color="CFF0FC"/>
            </w:tcBorders>
            <w:shd w:val="clear" w:color="auto" w:fill="CFF0FC"/>
          </w:tcPr>
          <w:p>
            <w:pPr>
              <w:spacing w:after="0"/>
              <w:rPr>
                <w:sz w:val="21"/>
                <w:szCs w:val="21"/>
                <w:color w:val="auto"/>
              </w:rPr>
            </w:pPr>
          </w:p>
        </w:tc>
        <w:tc>
          <w:tcPr>
            <w:tcW w:w="540" w:type="dxa"/>
            <w:vAlign w:val="bottom"/>
            <w:tcBorders>
              <w:top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140" w:type="dxa"/>
            <w:vAlign w:val="bottom"/>
            <w:tcBorders>
              <w:top w:val="single" w:sz="8" w:color="CFF0FC"/>
            </w:tcBorders>
            <w:shd w:val="clear" w:color="auto" w:fill="CFF0FC"/>
          </w:tcPr>
          <w:p>
            <w:pPr>
              <w:spacing w:after="0"/>
              <w:rPr>
                <w:sz w:val="21"/>
                <w:szCs w:val="21"/>
                <w:color w:val="auto"/>
              </w:rPr>
            </w:pPr>
          </w:p>
        </w:tc>
        <w:tc>
          <w:tcPr>
            <w:tcW w:w="440" w:type="dxa"/>
            <w:vAlign w:val="bottom"/>
            <w:tcBorders>
              <w:top w:val="single" w:sz="8" w:color="CFF0FC"/>
            </w:tcBorders>
            <w:shd w:val="clear" w:color="auto" w:fill="CFF0FC"/>
          </w:tcPr>
          <w:p>
            <w:pPr>
              <w:spacing w:after="0"/>
              <w:rPr>
                <w:sz w:val="21"/>
                <w:szCs w:val="21"/>
                <w:color w:val="auto"/>
              </w:rPr>
            </w:pPr>
          </w:p>
        </w:tc>
        <w:tc>
          <w:tcPr>
            <w:tcW w:w="140" w:type="dxa"/>
            <w:vAlign w:val="bottom"/>
            <w:tcBorders>
              <w:top w:val="single" w:sz="8" w:color="CFF0FC"/>
            </w:tcBorders>
            <w:shd w:val="clear" w:color="auto" w:fill="CFF0FC"/>
          </w:tcPr>
          <w:p>
            <w:pPr>
              <w:spacing w:after="0"/>
              <w:rPr>
                <w:sz w:val="21"/>
                <w:szCs w:val="21"/>
                <w:color w:val="auto"/>
              </w:rPr>
            </w:pPr>
          </w:p>
        </w:tc>
        <w:tc>
          <w:tcPr>
            <w:tcW w:w="106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120" w:type="dxa"/>
            <w:vAlign w:val="bottom"/>
            <w:tcBorders>
              <w:top w:val="single" w:sz="8" w:color="CFF0FC"/>
            </w:tcBorders>
            <w:shd w:val="clear" w:color="auto" w:fill="CFF0FC"/>
          </w:tcPr>
          <w:p>
            <w:pPr>
              <w:spacing w:after="0"/>
              <w:rPr>
                <w:sz w:val="21"/>
                <w:szCs w:val="21"/>
                <w:color w:val="auto"/>
              </w:rPr>
            </w:pPr>
          </w:p>
        </w:tc>
        <w:tc>
          <w:tcPr>
            <w:tcW w:w="660" w:type="dxa"/>
            <w:vAlign w:val="bottom"/>
            <w:tcBorders>
              <w:top w:val="single" w:sz="8" w:color="CFF0FC"/>
              <w:right w:val="single" w:sz="8" w:color="CFF0FC"/>
            </w:tcBorders>
            <w:shd w:val="clear" w:color="auto" w:fill="CFF0FC"/>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10.7†</w:t>
            </w:r>
          </w:p>
        </w:tc>
        <w:tc>
          <w:tcPr>
            <w:tcW w:w="140" w:type="dxa"/>
            <w:vAlign w:val="bottom"/>
          </w:tcPr>
          <w:p>
            <w:pPr>
              <w:spacing w:after="0"/>
              <w:rPr>
                <w:sz w:val="16"/>
                <w:szCs w:val="16"/>
                <w:color w:val="auto"/>
              </w:rPr>
            </w:pPr>
          </w:p>
        </w:tc>
        <w:tc>
          <w:tcPr>
            <w:tcW w:w="6320" w:type="dxa"/>
            <w:vAlign w:val="bottom"/>
            <w:tcBorders>
              <w:bottom w:val="single" w:sz="8" w:color="0000FF"/>
            </w:tcBorders>
            <w:gridSpan w:val="18"/>
          </w:tcPr>
          <w:p>
            <w:pPr>
              <w:spacing w:after="0" w:line="189" w:lineRule="exact"/>
              <w:rPr>
                <w:rFonts w:ascii="Times New Roman" w:cs="Times New Roman" w:eastAsia="Times New Roman" w:hAnsi="Times New Roman"/>
                <w:sz w:val="18"/>
                <w:szCs w:val="18"/>
                <w:color w:val="0000FF"/>
                <w:w w:val="99"/>
              </w:rPr>
            </w:pPr>
            <w:hyperlink r:id="rId729">
              <w:r>
                <w:rPr>
                  <w:rFonts w:ascii="Times New Roman" w:cs="Times New Roman" w:eastAsia="Times New Roman" w:hAnsi="Times New Roman"/>
                  <w:sz w:val="18"/>
                  <w:szCs w:val="18"/>
                  <w:color w:val="0000FF"/>
                  <w:w w:val="99"/>
                </w:rPr>
                <w:t>Form of Time-Based Share Option Award Agreement under the Willis Group Holdings</w:t>
              </w:r>
            </w:hyperlink>
          </w:p>
        </w:tc>
        <w:tc>
          <w:tcPr>
            <w:tcW w:w="540" w:type="dxa"/>
            <w:vAlign w:val="bottom"/>
            <w:gridSpan w:val="14"/>
          </w:tcPr>
          <w:p>
            <w:pPr>
              <w:spacing w:after="0"/>
              <w:rPr>
                <w:sz w:val="16"/>
                <w:szCs w:val="16"/>
                <w:color w:val="auto"/>
              </w:rPr>
            </w:pPr>
          </w:p>
        </w:tc>
        <w:tc>
          <w:tcPr>
            <w:tcW w:w="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10-Q</w:t>
            </w:r>
          </w:p>
        </w:tc>
        <w:tc>
          <w:tcPr>
            <w:tcW w:w="580" w:type="dxa"/>
            <w:vAlign w:val="bottom"/>
            <w:gridSpan w:val="2"/>
          </w:tcPr>
          <w:p>
            <w:pPr>
              <w:jc w:val="center"/>
              <w:ind w:left="5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220" w:type="dxa"/>
            <w:vAlign w:val="bottom"/>
            <w:gridSpan w:val="3"/>
          </w:tcPr>
          <w:p>
            <w:pPr>
              <w:ind w:left="140"/>
              <w:spacing w:after="0" w:line="189" w:lineRule="exact"/>
              <w:rPr>
                <w:sz w:val="20"/>
                <w:szCs w:val="20"/>
                <w:color w:val="auto"/>
              </w:rPr>
            </w:pPr>
            <w:r>
              <w:rPr>
                <w:rFonts w:ascii="Times New Roman" w:cs="Times New Roman" w:eastAsia="Times New Roman" w:hAnsi="Times New Roman"/>
                <w:sz w:val="18"/>
                <w:szCs w:val="18"/>
                <w:color w:val="auto"/>
              </w:rPr>
              <w:t>August 9,</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60" w:type="dxa"/>
            <w:vAlign w:val="bottom"/>
            <w:gridSpan w:val="32"/>
          </w:tcPr>
          <w:p>
            <w:pPr>
              <w:spacing w:after="0" w:line="195" w:lineRule="exact"/>
              <w:rPr>
                <w:rFonts w:ascii="Times New Roman" w:cs="Times New Roman" w:eastAsia="Times New Roman" w:hAnsi="Times New Roman"/>
                <w:sz w:val="18"/>
                <w:szCs w:val="18"/>
                <w:color w:val="0000FF"/>
              </w:rPr>
            </w:pPr>
            <w:hyperlink r:id="rId729">
              <w:r>
                <w:rPr>
                  <w:rFonts w:ascii="Times New Roman" w:cs="Times New Roman" w:eastAsia="Times New Roman" w:hAnsi="Times New Roman"/>
                  <w:sz w:val="18"/>
                  <w:szCs w:val="18"/>
                  <w:color w:val="0000FF"/>
                </w:rPr>
                <w:t>Public Limited Company 2012 Equity Incentive Plan</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gridSpan w:val="2"/>
          </w:tcPr>
          <w:p>
            <w:pPr>
              <w:ind w:left="140"/>
              <w:spacing w:after="0" w:line="195" w:lineRule="exact"/>
              <w:rPr>
                <w:sz w:val="20"/>
                <w:szCs w:val="20"/>
                <w:color w:val="auto"/>
              </w:rPr>
            </w:pPr>
            <w:r>
              <w:rPr>
                <w:rFonts w:ascii="Times New Roman" w:cs="Times New Roman" w:eastAsia="Times New Roman" w:hAnsi="Times New Roman"/>
                <w:sz w:val="18"/>
                <w:szCs w:val="18"/>
                <w:color w:val="auto"/>
              </w:rPr>
              <w:t>2012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3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Borders>
              <w:right w:val="single" w:sz="8" w:color="CFF0FC"/>
            </w:tcBorders>
          </w:tcPr>
          <w:p>
            <w:pPr>
              <w:spacing w:after="0"/>
              <w:rPr>
                <w:sz w:val="16"/>
                <w:szCs w:val="16"/>
                <w:color w:val="auto"/>
              </w:rPr>
            </w:pPr>
          </w:p>
        </w:tc>
        <w:tc>
          <w:tcPr>
            <w:tcW w:w="6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10.8†</w:t>
            </w:r>
          </w:p>
        </w:tc>
        <w:tc>
          <w:tcPr>
            <w:tcW w:w="140" w:type="dxa"/>
            <w:vAlign w:val="bottom"/>
            <w:tcBorders>
              <w:bottom w:val="single" w:sz="8" w:color="CFF0FC"/>
            </w:tcBorders>
            <w:shd w:val="clear" w:color="auto" w:fill="CFF0FC"/>
          </w:tcPr>
          <w:p>
            <w:pPr>
              <w:spacing w:after="0"/>
              <w:rPr>
                <w:sz w:val="16"/>
                <w:szCs w:val="16"/>
                <w:color w:val="auto"/>
              </w:rPr>
            </w:pPr>
          </w:p>
        </w:tc>
        <w:tc>
          <w:tcPr>
            <w:tcW w:w="6300" w:type="dxa"/>
            <w:vAlign w:val="bottom"/>
            <w:tcBorders>
              <w:bottom w:val="single" w:sz="8" w:color="0000FF"/>
            </w:tcBorders>
            <w:gridSpan w:val="17"/>
            <w:shd w:val="clear" w:color="auto" w:fill="CFF0FC"/>
          </w:tcPr>
          <w:p>
            <w:pPr>
              <w:spacing w:after="0" w:line="189" w:lineRule="exact"/>
              <w:rPr>
                <w:rFonts w:ascii="Times New Roman" w:cs="Times New Roman" w:eastAsia="Times New Roman" w:hAnsi="Times New Roman"/>
                <w:sz w:val="18"/>
                <w:szCs w:val="18"/>
                <w:color w:val="0000FF"/>
              </w:rPr>
            </w:pPr>
            <w:hyperlink r:id="rId730">
              <w:r>
                <w:rPr>
                  <w:rFonts w:ascii="Times New Roman" w:cs="Times New Roman" w:eastAsia="Times New Roman" w:hAnsi="Times New Roman"/>
                  <w:sz w:val="18"/>
                  <w:szCs w:val="18"/>
                  <w:color w:val="0000FF"/>
                </w:rPr>
                <w:t>Form of 2012 Equity Incentive Plan (As Amended and Restated) Restricted Share Unit</w:t>
              </w:r>
            </w:hyperlink>
          </w:p>
        </w:tc>
        <w:tc>
          <w:tcPr>
            <w:tcW w:w="560" w:type="dxa"/>
            <w:vAlign w:val="bottom"/>
            <w:tcBorders>
              <w:bottom w:val="single" w:sz="8" w:color="CFF0FC"/>
            </w:tcBorders>
            <w:gridSpan w:val="15"/>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10-K</w:t>
            </w:r>
          </w:p>
        </w:tc>
        <w:tc>
          <w:tcPr>
            <w:tcW w:w="580" w:type="dxa"/>
            <w:vAlign w:val="bottom"/>
            <w:tcBorders>
              <w:bottom w:val="single" w:sz="8" w:color="CFF0FC"/>
            </w:tcBorders>
            <w:gridSpan w:val="2"/>
            <w:shd w:val="clear" w:color="auto" w:fill="CFF0FC"/>
          </w:tcPr>
          <w:p>
            <w:pPr>
              <w:jc w:val="center"/>
              <w:ind w:left="50"/>
              <w:spacing w:after="0" w:line="189" w:lineRule="exact"/>
              <w:rPr>
                <w:sz w:val="20"/>
                <w:szCs w:val="20"/>
                <w:color w:val="auto"/>
              </w:rPr>
            </w:pPr>
            <w:r>
              <w:rPr>
                <w:rFonts w:ascii="Times New Roman" w:cs="Times New Roman" w:eastAsia="Times New Roman" w:hAnsi="Times New Roman"/>
                <w:sz w:val="18"/>
                <w:szCs w:val="18"/>
                <w:color w:val="auto"/>
              </w:rPr>
              <w:t>10.9</w:t>
            </w:r>
          </w:p>
        </w:tc>
        <w:tc>
          <w:tcPr>
            <w:tcW w:w="1220" w:type="dxa"/>
            <w:vAlign w:val="bottom"/>
            <w:tcBorders>
              <w:bottom w:val="single" w:sz="8" w:color="CFF0FC"/>
            </w:tcBorders>
            <w:gridSpan w:val="3"/>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February 24,</w:t>
            </w:r>
          </w:p>
        </w:tc>
        <w:tc>
          <w:tcPr>
            <w:tcW w:w="12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right w:val="single" w:sz="8" w:color="CFF0FC"/>
            </w:tcBorders>
            <w:shd w:val="clear" w:color="auto" w:fill="CFF0FC"/>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380" w:type="dxa"/>
            <w:vAlign w:val="bottom"/>
            <w:tcBorders>
              <w:bottom w:val="single" w:sz="8" w:color="0000FF"/>
            </w:tcBorders>
            <w:gridSpan w:val="19"/>
            <w:shd w:val="clear" w:color="auto" w:fill="CFF0FC"/>
          </w:tcPr>
          <w:p>
            <w:pPr>
              <w:spacing w:after="0" w:line="195" w:lineRule="exact"/>
              <w:rPr>
                <w:rFonts w:ascii="Times New Roman" w:cs="Times New Roman" w:eastAsia="Times New Roman" w:hAnsi="Times New Roman"/>
                <w:sz w:val="18"/>
                <w:szCs w:val="18"/>
                <w:color w:val="0000FF"/>
                <w:w w:val="99"/>
              </w:rPr>
            </w:pPr>
            <w:hyperlink r:id="rId730">
              <w:r>
                <w:rPr>
                  <w:rFonts w:ascii="Times New Roman" w:cs="Times New Roman" w:eastAsia="Times New Roman" w:hAnsi="Times New Roman"/>
                  <w:sz w:val="18"/>
                  <w:szCs w:val="18"/>
                  <w:color w:val="0000FF"/>
                  <w:w w:val="99"/>
                </w:rPr>
                <w:t>Award Agreement for Non-Employee Directors under the Willis Group Holdings Public</w:t>
              </w:r>
            </w:hyperlink>
          </w:p>
        </w:tc>
        <w:tc>
          <w:tcPr>
            <w:tcW w:w="480" w:type="dxa"/>
            <w:vAlign w:val="bottom"/>
            <w:tcBorders>
              <w:bottom w:val="single" w:sz="8" w:color="CFF0FC"/>
            </w:tcBorders>
            <w:gridSpan w:val="13"/>
            <w:shd w:val="clear" w:color="auto" w:fill="CFF0FC"/>
          </w:tcPr>
          <w:p>
            <w:pPr>
              <w:spacing w:after="0"/>
              <w:rPr>
                <w:sz w:val="17"/>
                <w:szCs w:val="17"/>
                <w:color w:val="auto"/>
              </w:rPr>
            </w:pPr>
          </w:p>
        </w:tc>
        <w:tc>
          <w:tcPr>
            <w:tcW w:w="5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CFF0FC"/>
            </w:tcBorders>
            <w:gridSpan w:val="2"/>
            <w:shd w:val="clear" w:color="auto" w:fill="CFF0FC"/>
          </w:tcPr>
          <w:p>
            <w:pPr>
              <w:ind w:left="140"/>
              <w:spacing w:after="0" w:line="195" w:lineRule="exact"/>
              <w:rPr>
                <w:sz w:val="20"/>
                <w:szCs w:val="20"/>
                <w:color w:val="auto"/>
              </w:rPr>
            </w:pPr>
            <w:r>
              <w:rPr>
                <w:rFonts w:ascii="Times New Roman" w:cs="Times New Roman" w:eastAsia="Times New Roman" w:hAnsi="Times New Roman"/>
                <w:sz w:val="18"/>
                <w:szCs w:val="18"/>
                <w:color w:val="auto"/>
              </w:rPr>
              <w:t>2022</w:t>
            </w: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 w:type="dxa"/>
            <w:vAlign w:val="bottom"/>
            <w:tcBorders>
              <w:right w:val="single" w:sz="8" w:color="CFF0FC"/>
            </w:tcBorders>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380" w:type="dxa"/>
            <w:vAlign w:val="bottom"/>
            <w:tcBorders>
              <w:bottom w:val="single" w:sz="8" w:color="0000EE"/>
            </w:tcBorders>
            <w:gridSpan w:val="6"/>
            <w:shd w:val="clear" w:color="auto" w:fill="CFF0FC"/>
          </w:tcPr>
          <w:p>
            <w:pPr>
              <w:spacing w:after="0" w:line="195" w:lineRule="exact"/>
              <w:rPr>
                <w:rFonts w:ascii="Times New Roman" w:cs="Times New Roman" w:eastAsia="Times New Roman" w:hAnsi="Times New Roman"/>
                <w:sz w:val="18"/>
                <w:szCs w:val="18"/>
                <w:color w:val="0000FF"/>
              </w:rPr>
            </w:pPr>
            <w:hyperlink r:id="rId730">
              <w:r>
                <w:rPr>
                  <w:rFonts w:ascii="Times New Roman" w:cs="Times New Roman" w:eastAsia="Times New Roman" w:hAnsi="Times New Roman"/>
                  <w:sz w:val="18"/>
                  <w:szCs w:val="18"/>
                  <w:color w:val="0000FF"/>
                </w:rPr>
                <w:t>Limited Company 2012 Equity Incentive Plan</w:t>
              </w:r>
            </w:hyperlink>
          </w:p>
        </w:tc>
        <w:tc>
          <w:tcPr>
            <w:tcW w:w="3480" w:type="dxa"/>
            <w:vAlign w:val="bottom"/>
            <w:tcBorders>
              <w:bottom w:val="single" w:sz="8" w:color="CFF0FC"/>
            </w:tcBorders>
            <w:gridSpan w:val="26"/>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right w:val="single" w:sz="8" w:color="CFF0FC"/>
            </w:tcBorders>
            <w:shd w:val="clear" w:color="auto" w:fill="CFF0FC"/>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10.9†</w:t>
            </w:r>
          </w:p>
        </w:tc>
        <w:tc>
          <w:tcPr>
            <w:tcW w:w="140" w:type="dxa"/>
            <w:vAlign w:val="bottom"/>
          </w:tcPr>
          <w:p>
            <w:pPr>
              <w:spacing w:after="0"/>
              <w:rPr>
                <w:sz w:val="16"/>
                <w:szCs w:val="16"/>
                <w:color w:val="auto"/>
              </w:rPr>
            </w:pPr>
          </w:p>
        </w:tc>
        <w:tc>
          <w:tcPr>
            <w:tcW w:w="6600" w:type="dxa"/>
            <w:vAlign w:val="bottom"/>
            <w:tcBorders>
              <w:bottom w:val="single" w:sz="8" w:color="0000FF"/>
            </w:tcBorders>
            <w:gridSpan w:val="26"/>
          </w:tcPr>
          <w:p>
            <w:pPr>
              <w:spacing w:after="0" w:line="189" w:lineRule="exact"/>
              <w:rPr>
                <w:rFonts w:ascii="Times New Roman" w:cs="Times New Roman" w:eastAsia="Times New Roman" w:hAnsi="Times New Roman"/>
                <w:sz w:val="18"/>
                <w:szCs w:val="18"/>
                <w:color w:val="0000FF"/>
              </w:rPr>
            </w:pPr>
            <w:hyperlink r:id="rId731">
              <w:r>
                <w:rPr>
                  <w:rFonts w:ascii="Times New Roman" w:cs="Times New Roman" w:eastAsia="Times New Roman" w:hAnsi="Times New Roman"/>
                  <w:sz w:val="18"/>
                  <w:szCs w:val="18"/>
                  <w:color w:val="0000FF"/>
                </w:rPr>
                <w:t>Rules of the Willis Group Holdings Public Limited Company 2012 Sharesave Sub-Plan for</w:t>
              </w:r>
            </w:hyperlink>
          </w:p>
        </w:tc>
        <w:tc>
          <w:tcPr>
            <w:tcW w:w="260" w:type="dxa"/>
            <w:vAlign w:val="bottom"/>
            <w:gridSpan w:val="6"/>
          </w:tcPr>
          <w:p>
            <w:pPr>
              <w:spacing w:after="0"/>
              <w:rPr>
                <w:sz w:val="16"/>
                <w:szCs w:val="16"/>
                <w:color w:val="auto"/>
              </w:rPr>
            </w:pPr>
          </w:p>
        </w:tc>
        <w:tc>
          <w:tcPr>
            <w:tcW w:w="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10-K</w:t>
            </w:r>
          </w:p>
        </w:tc>
        <w:tc>
          <w:tcPr>
            <w:tcW w:w="580" w:type="dxa"/>
            <w:vAlign w:val="bottom"/>
            <w:gridSpan w:val="2"/>
          </w:tcPr>
          <w:p>
            <w:pPr>
              <w:jc w:val="center"/>
              <w:ind w:left="50"/>
              <w:spacing w:after="0" w:line="189" w:lineRule="exact"/>
              <w:rPr>
                <w:sz w:val="20"/>
                <w:szCs w:val="20"/>
                <w:color w:val="auto"/>
              </w:rPr>
            </w:pPr>
            <w:r>
              <w:rPr>
                <w:rFonts w:ascii="Times New Roman" w:cs="Times New Roman" w:eastAsia="Times New Roman" w:hAnsi="Times New Roman"/>
                <w:sz w:val="18"/>
                <w:szCs w:val="18"/>
                <w:color w:val="auto"/>
                <w:w w:val="98"/>
              </w:rPr>
              <w:t>10.32</w:t>
            </w:r>
          </w:p>
        </w:tc>
        <w:tc>
          <w:tcPr>
            <w:tcW w:w="1220" w:type="dxa"/>
            <w:vAlign w:val="bottom"/>
            <w:gridSpan w:val="3"/>
          </w:tcPr>
          <w:p>
            <w:pPr>
              <w:ind w:left="140"/>
              <w:spacing w:after="0" w:line="189" w:lineRule="exact"/>
              <w:rPr>
                <w:sz w:val="20"/>
                <w:szCs w:val="20"/>
                <w:color w:val="auto"/>
              </w:rPr>
            </w:pPr>
            <w:r>
              <w:rPr>
                <w:rFonts w:ascii="Times New Roman" w:cs="Times New Roman" w:eastAsia="Times New Roman" w:hAnsi="Times New Roman"/>
                <w:sz w:val="18"/>
                <w:szCs w:val="18"/>
                <w:color w:val="auto"/>
              </w:rPr>
              <w:t>February 28,</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60" w:type="dxa"/>
            <w:vAlign w:val="bottom"/>
            <w:tcBorders>
              <w:bottom w:val="single" w:sz="8" w:color="0000FF"/>
            </w:tcBorders>
            <w:gridSpan w:val="21"/>
          </w:tcPr>
          <w:p>
            <w:pPr>
              <w:spacing w:after="0" w:line="195" w:lineRule="exact"/>
              <w:rPr>
                <w:rFonts w:ascii="Times New Roman" w:cs="Times New Roman" w:eastAsia="Times New Roman" w:hAnsi="Times New Roman"/>
                <w:sz w:val="18"/>
                <w:szCs w:val="18"/>
                <w:color w:val="0000FF"/>
              </w:rPr>
            </w:pPr>
            <w:hyperlink r:id="rId731">
              <w:r>
                <w:rPr>
                  <w:rFonts w:ascii="Times New Roman" w:cs="Times New Roman" w:eastAsia="Times New Roman" w:hAnsi="Times New Roman"/>
                  <w:sz w:val="18"/>
                  <w:szCs w:val="18"/>
                  <w:color w:val="0000FF"/>
                </w:rPr>
                <w:t>the United Kingdom to the Willis Group Holdings Public Limited Company 2012 Equity</w:t>
              </w:r>
            </w:hyperlink>
          </w:p>
        </w:tc>
        <w:tc>
          <w:tcPr>
            <w:tcW w:w="400" w:type="dxa"/>
            <w:vAlign w:val="bottom"/>
            <w:gridSpan w:val="11"/>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gridSpan w:val="2"/>
          </w:tcPr>
          <w:p>
            <w:pPr>
              <w:ind w:left="140"/>
              <w:spacing w:after="0" w:line="195" w:lineRule="exact"/>
              <w:rPr>
                <w:sz w:val="20"/>
                <w:szCs w:val="20"/>
                <w:color w:val="auto"/>
              </w:rPr>
            </w:pPr>
            <w:r>
              <w:rPr>
                <w:rFonts w:ascii="Times New Roman" w:cs="Times New Roman" w:eastAsia="Times New Roman" w:hAnsi="Times New Roman"/>
                <w:sz w:val="18"/>
                <w:szCs w:val="18"/>
                <w:color w:val="auto"/>
              </w:rPr>
              <w:t>2013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60" w:type="dxa"/>
            <w:vAlign w:val="bottom"/>
            <w:gridSpan w:val="32"/>
          </w:tcPr>
          <w:p>
            <w:pPr>
              <w:spacing w:after="0" w:line="195" w:lineRule="exact"/>
              <w:rPr>
                <w:rFonts w:ascii="Times New Roman" w:cs="Times New Roman" w:eastAsia="Times New Roman" w:hAnsi="Times New Roman"/>
                <w:sz w:val="18"/>
                <w:szCs w:val="18"/>
                <w:color w:val="0000FF"/>
              </w:rPr>
            </w:pPr>
            <w:hyperlink r:id="rId731">
              <w:r>
                <w:rPr>
                  <w:rFonts w:ascii="Times New Roman" w:cs="Times New Roman" w:eastAsia="Times New Roman" w:hAnsi="Times New Roman"/>
                  <w:sz w:val="18"/>
                  <w:szCs w:val="18"/>
                  <w:color w:val="0000FF"/>
                </w:rPr>
                <w:t>Incentive Plan</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Borders>
              <w:right w:val="single" w:sz="8" w:color="CFF0FC"/>
            </w:tcBorders>
          </w:tcPr>
          <w:p>
            <w:pPr>
              <w:spacing w:after="0"/>
              <w:rPr>
                <w:sz w:val="16"/>
                <w:szCs w:val="16"/>
                <w:color w:val="auto"/>
              </w:rPr>
            </w:pPr>
          </w:p>
        </w:tc>
        <w:tc>
          <w:tcPr>
            <w:tcW w:w="64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10.10†</w:t>
            </w:r>
          </w:p>
        </w:tc>
        <w:tc>
          <w:tcPr>
            <w:tcW w:w="140" w:type="dxa"/>
            <w:vAlign w:val="bottom"/>
            <w:shd w:val="clear" w:color="auto" w:fill="CFF0FC"/>
          </w:tcPr>
          <w:p>
            <w:pPr>
              <w:spacing w:after="0"/>
              <w:rPr>
                <w:sz w:val="16"/>
                <w:szCs w:val="16"/>
                <w:color w:val="auto"/>
              </w:rPr>
            </w:pPr>
          </w:p>
        </w:tc>
        <w:tc>
          <w:tcPr>
            <w:tcW w:w="6860" w:type="dxa"/>
            <w:vAlign w:val="bottom"/>
            <w:gridSpan w:val="32"/>
            <w:shd w:val="clear" w:color="auto" w:fill="CFF0FC"/>
          </w:tcPr>
          <w:p>
            <w:pPr>
              <w:spacing w:after="0" w:line="189" w:lineRule="exact"/>
              <w:rPr>
                <w:rFonts w:ascii="Times New Roman" w:cs="Times New Roman" w:eastAsia="Times New Roman" w:hAnsi="Times New Roman"/>
                <w:sz w:val="18"/>
                <w:szCs w:val="18"/>
                <w:color w:val="0000FF"/>
              </w:rPr>
            </w:pPr>
            <w:hyperlink r:id="rId732">
              <w:r>
                <w:rPr>
                  <w:rFonts w:ascii="Times New Roman" w:cs="Times New Roman" w:eastAsia="Times New Roman" w:hAnsi="Times New Roman"/>
                  <w:sz w:val="18"/>
                  <w:szCs w:val="18"/>
                  <w:color w:val="0000FF"/>
                </w:rPr>
                <w:t>Amended and Restated Willis U.S. 2005 Deferred Compensation Plan</w:t>
              </w:r>
            </w:hyperlink>
          </w:p>
        </w:tc>
        <w:tc>
          <w:tcPr>
            <w:tcW w:w="54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gridSpan w:val="2"/>
            <w:shd w:val="clear" w:color="auto" w:fill="CFF0FC"/>
          </w:tcPr>
          <w:p>
            <w:pPr>
              <w:jc w:val="center"/>
              <w:ind w:left="5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220" w:type="dxa"/>
            <w:vAlign w:val="bottom"/>
            <w:gridSpan w:val="3"/>
            <w:shd w:val="clear" w:color="auto" w:fill="CFF0FC"/>
          </w:tcPr>
          <w:p>
            <w:pPr>
              <w:ind w:left="140"/>
              <w:spacing w:after="0" w:line="189" w:lineRule="exact"/>
              <w:rPr>
                <w:sz w:val="20"/>
                <w:szCs w:val="20"/>
                <w:color w:val="auto"/>
              </w:rPr>
            </w:pPr>
            <w:r>
              <w:rPr>
                <w:rFonts w:ascii="Times New Roman" w:cs="Times New Roman" w:eastAsia="Times New Roman" w:hAnsi="Times New Roman"/>
                <w:sz w:val="17"/>
                <w:szCs w:val="17"/>
                <w:color w:val="auto"/>
              </w:rPr>
              <w:t>November 20,</w:t>
            </w:r>
          </w:p>
        </w:tc>
        <w:tc>
          <w:tcPr>
            <w:tcW w:w="120" w:type="dxa"/>
            <w:vAlign w:val="bottom"/>
            <w:shd w:val="clear" w:color="auto" w:fill="CFF0FC"/>
          </w:tcPr>
          <w:p>
            <w:pPr>
              <w:spacing w:after="0"/>
              <w:rPr>
                <w:sz w:val="16"/>
                <w:szCs w:val="16"/>
                <w:color w:val="auto"/>
              </w:rPr>
            </w:pPr>
          </w:p>
        </w:tc>
        <w:tc>
          <w:tcPr>
            <w:tcW w:w="660" w:type="dxa"/>
            <w:vAlign w:val="bottom"/>
            <w:tcBorders>
              <w:right w:val="single" w:sz="8" w:color="CFF0FC"/>
            </w:tcBorders>
            <w:shd w:val="clear" w:color="auto" w:fill="CFF0FC"/>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0" w:type="dxa"/>
            <w:vAlign w:val="bottom"/>
            <w:tcBorders>
              <w:right w:val="single" w:sz="8" w:color="CFF0FC"/>
            </w:tcBorders>
          </w:tcPr>
          <w:p>
            <w:pPr>
              <w:spacing w:after="0"/>
              <w:rPr>
                <w:sz w:val="19"/>
                <w:szCs w:val="19"/>
                <w:color w:val="auto"/>
              </w:rPr>
            </w:pP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0000FF"/>
              <w:bottom w:val="single" w:sz="8" w:color="CFF0FC"/>
            </w:tcBorders>
            <w:shd w:val="clear" w:color="auto" w:fill="CFF0FC"/>
          </w:tcPr>
          <w:p>
            <w:pPr>
              <w:spacing w:after="0"/>
              <w:rPr>
                <w:sz w:val="19"/>
                <w:szCs w:val="19"/>
                <w:color w:val="auto"/>
              </w:rPr>
            </w:pPr>
          </w:p>
        </w:tc>
        <w:tc>
          <w:tcPr>
            <w:tcW w:w="720" w:type="dxa"/>
            <w:vAlign w:val="bottom"/>
            <w:tcBorders>
              <w:top w:val="single" w:sz="8" w:color="0000FF"/>
              <w:bottom w:val="single" w:sz="8" w:color="CFF0FC"/>
            </w:tcBorders>
            <w:shd w:val="clear" w:color="auto" w:fill="CFF0FC"/>
          </w:tcPr>
          <w:p>
            <w:pPr>
              <w:spacing w:after="0"/>
              <w:rPr>
                <w:sz w:val="19"/>
                <w:szCs w:val="19"/>
                <w:color w:val="auto"/>
              </w:rPr>
            </w:pPr>
          </w:p>
        </w:tc>
        <w:tc>
          <w:tcPr>
            <w:tcW w:w="460" w:type="dxa"/>
            <w:vAlign w:val="bottom"/>
            <w:tcBorders>
              <w:top w:val="single" w:sz="8" w:color="0000FF"/>
              <w:bottom w:val="single" w:sz="8" w:color="CFF0FC"/>
            </w:tcBorders>
            <w:shd w:val="clear" w:color="auto" w:fill="CFF0FC"/>
          </w:tcPr>
          <w:p>
            <w:pPr>
              <w:spacing w:after="0"/>
              <w:rPr>
                <w:sz w:val="19"/>
                <w:szCs w:val="19"/>
                <w:color w:val="auto"/>
              </w:rPr>
            </w:pPr>
          </w:p>
        </w:tc>
        <w:tc>
          <w:tcPr>
            <w:tcW w:w="380" w:type="dxa"/>
            <w:vAlign w:val="bottom"/>
            <w:tcBorders>
              <w:top w:val="single" w:sz="8" w:color="0000FF"/>
              <w:bottom w:val="single" w:sz="8" w:color="CFF0FC"/>
            </w:tcBorders>
            <w:shd w:val="clear" w:color="auto" w:fill="CFF0FC"/>
          </w:tcPr>
          <w:p>
            <w:pPr>
              <w:spacing w:after="0"/>
              <w:rPr>
                <w:sz w:val="19"/>
                <w:szCs w:val="19"/>
                <w:color w:val="auto"/>
              </w:rPr>
            </w:pPr>
          </w:p>
        </w:tc>
        <w:tc>
          <w:tcPr>
            <w:tcW w:w="120" w:type="dxa"/>
            <w:vAlign w:val="bottom"/>
            <w:tcBorders>
              <w:top w:val="single" w:sz="8" w:color="0000FF"/>
              <w:bottom w:val="single" w:sz="8" w:color="CFF0FC"/>
            </w:tcBorders>
            <w:shd w:val="clear" w:color="auto" w:fill="CFF0FC"/>
          </w:tcPr>
          <w:p>
            <w:pPr>
              <w:spacing w:after="0"/>
              <w:rPr>
                <w:sz w:val="19"/>
                <w:szCs w:val="19"/>
                <w:color w:val="auto"/>
              </w:rPr>
            </w:pPr>
          </w:p>
        </w:tc>
        <w:tc>
          <w:tcPr>
            <w:tcW w:w="1380" w:type="dxa"/>
            <w:vAlign w:val="bottom"/>
            <w:tcBorders>
              <w:top w:val="single" w:sz="8" w:color="0000FF"/>
              <w:bottom w:val="single" w:sz="8" w:color="CFF0FC"/>
            </w:tcBorders>
            <w:shd w:val="clear" w:color="auto" w:fill="CFF0FC"/>
          </w:tcPr>
          <w:p>
            <w:pPr>
              <w:spacing w:after="0"/>
              <w:rPr>
                <w:sz w:val="19"/>
                <w:szCs w:val="19"/>
                <w:color w:val="auto"/>
              </w:rPr>
            </w:pPr>
          </w:p>
        </w:tc>
        <w:tc>
          <w:tcPr>
            <w:tcW w:w="220" w:type="dxa"/>
            <w:vAlign w:val="bottom"/>
            <w:tcBorders>
              <w:top w:val="single" w:sz="8" w:color="0000FF"/>
              <w:bottom w:val="single" w:sz="8" w:color="CFF0FC"/>
            </w:tcBorders>
            <w:shd w:val="clear" w:color="auto" w:fill="CFF0FC"/>
          </w:tcPr>
          <w:p>
            <w:pPr>
              <w:spacing w:after="0"/>
              <w:rPr>
                <w:sz w:val="19"/>
                <w:szCs w:val="19"/>
                <w:color w:val="auto"/>
              </w:rPr>
            </w:pPr>
          </w:p>
        </w:tc>
        <w:tc>
          <w:tcPr>
            <w:tcW w:w="220" w:type="dxa"/>
            <w:vAlign w:val="bottom"/>
            <w:tcBorders>
              <w:top w:val="single" w:sz="8" w:color="0000FF"/>
              <w:bottom w:val="single" w:sz="8" w:color="CFF0FC"/>
            </w:tcBorders>
            <w:shd w:val="clear" w:color="auto" w:fill="CFF0FC"/>
          </w:tcPr>
          <w:p>
            <w:pPr>
              <w:spacing w:after="0"/>
              <w:rPr>
                <w:sz w:val="19"/>
                <w:szCs w:val="19"/>
                <w:color w:val="auto"/>
              </w:rPr>
            </w:pPr>
          </w:p>
        </w:tc>
        <w:tc>
          <w:tcPr>
            <w:tcW w:w="720" w:type="dxa"/>
            <w:vAlign w:val="bottom"/>
            <w:tcBorders>
              <w:top w:val="single" w:sz="8" w:color="0000FF"/>
              <w:bottom w:val="single" w:sz="8" w:color="CFF0FC"/>
            </w:tcBorders>
            <w:shd w:val="clear" w:color="auto" w:fill="CFF0FC"/>
          </w:tcPr>
          <w:p>
            <w:pPr>
              <w:spacing w:after="0"/>
              <w:rPr>
                <w:sz w:val="19"/>
                <w:szCs w:val="19"/>
                <w:color w:val="auto"/>
              </w:rPr>
            </w:pPr>
          </w:p>
        </w:tc>
        <w:tc>
          <w:tcPr>
            <w:tcW w:w="140" w:type="dxa"/>
            <w:vAlign w:val="bottom"/>
            <w:tcBorders>
              <w:top w:val="single" w:sz="8" w:color="0000FF"/>
              <w:bottom w:val="single" w:sz="8" w:color="CFF0FC"/>
            </w:tcBorders>
            <w:shd w:val="clear" w:color="auto" w:fill="CFF0FC"/>
          </w:tcPr>
          <w:p>
            <w:pPr>
              <w:spacing w:after="0"/>
              <w:rPr>
                <w:sz w:val="19"/>
                <w:szCs w:val="19"/>
                <w:color w:val="auto"/>
              </w:rPr>
            </w:pPr>
          </w:p>
        </w:tc>
        <w:tc>
          <w:tcPr>
            <w:tcW w:w="60" w:type="dxa"/>
            <w:vAlign w:val="bottom"/>
            <w:tcBorders>
              <w:top w:val="single" w:sz="8" w:color="0000FF"/>
              <w:bottom w:val="single" w:sz="8" w:color="CFF0FC"/>
            </w:tcBorders>
            <w:shd w:val="clear" w:color="auto" w:fill="CFF0FC"/>
          </w:tcPr>
          <w:p>
            <w:pPr>
              <w:spacing w:after="0"/>
              <w:rPr>
                <w:sz w:val="19"/>
                <w:szCs w:val="19"/>
                <w:color w:val="auto"/>
              </w:rPr>
            </w:pPr>
          </w:p>
        </w:tc>
        <w:tc>
          <w:tcPr>
            <w:tcW w:w="300" w:type="dxa"/>
            <w:vAlign w:val="bottom"/>
            <w:tcBorders>
              <w:top w:val="single" w:sz="8" w:color="0000FF"/>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2009</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10.11†</w:t>
            </w:r>
          </w:p>
        </w:tc>
        <w:tc>
          <w:tcPr>
            <w:tcW w:w="140" w:type="dxa"/>
            <w:vAlign w:val="bottom"/>
          </w:tcPr>
          <w:p>
            <w:pPr>
              <w:spacing w:after="0"/>
              <w:rPr>
                <w:sz w:val="16"/>
                <w:szCs w:val="16"/>
                <w:color w:val="auto"/>
              </w:rPr>
            </w:pPr>
          </w:p>
        </w:tc>
        <w:tc>
          <w:tcPr>
            <w:tcW w:w="6480" w:type="dxa"/>
            <w:vAlign w:val="bottom"/>
            <w:tcBorders>
              <w:bottom w:val="single" w:sz="8" w:color="0000FF"/>
            </w:tcBorders>
            <w:gridSpan w:val="22"/>
          </w:tcPr>
          <w:p>
            <w:pPr>
              <w:spacing w:after="0" w:line="189" w:lineRule="exact"/>
              <w:rPr>
                <w:rFonts w:ascii="Times New Roman" w:cs="Times New Roman" w:eastAsia="Times New Roman" w:hAnsi="Times New Roman"/>
                <w:sz w:val="18"/>
                <w:szCs w:val="18"/>
                <w:color w:val="0000FF"/>
              </w:rPr>
            </w:pPr>
            <w:hyperlink r:id="rId733">
              <w:r>
                <w:rPr>
                  <w:rFonts w:ascii="Times New Roman" w:cs="Times New Roman" w:eastAsia="Times New Roman" w:hAnsi="Times New Roman"/>
                  <w:sz w:val="18"/>
                  <w:szCs w:val="18"/>
                  <w:color w:val="0000FF"/>
                </w:rPr>
                <w:t>First Amendment to the Amended and Restated Willis U.S. 2005 Deferred Compensation</w:t>
              </w:r>
            </w:hyperlink>
          </w:p>
        </w:tc>
        <w:tc>
          <w:tcPr>
            <w:tcW w:w="380" w:type="dxa"/>
            <w:vAlign w:val="bottom"/>
            <w:gridSpan w:val="10"/>
          </w:tcPr>
          <w:p>
            <w:pPr>
              <w:spacing w:after="0"/>
              <w:rPr>
                <w:sz w:val="16"/>
                <w:szCs w:val="16"/>
                <w:color w:val="auto"/>
              </w:rPr>
            </w:pPr>
          </w:p>
        </w:tc>
        <w:tc>
          <w:tcPr>
            <w:tcW w:w="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10-Q</w:t>
            </w:r>
          </w:p>
        </w:tc>
        <w:tc>
          <w:tcPr>
            <w:tcW w:w="580" w:type="dxa"/>
            <w:vAlign w:val="bottom"/>
            <w:gridSpan w:val="2"/>
          </w:tcPr>
          <w:p>
            <w:pPr>
              <w:jc w:val="center"/>
              <w:ind w:left="5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220" w:type="dxa"/>
            <w:vAlign w:val="bottom"/>
            <w:gridSpan w:val="3"/>
          </w:tcPr>
          <w:p>
            <w:pPr>
              <w:ind w:left="140"/>
              <w:spacing w:after="0" w:line="189" w:lineRule="exact"/>
              <w:rPr>
                <w:sz w:val="20"/>
                <w:szCs w:val="20"/>
                <w:color w:val="auto"/>
              </w:rPr>
            </w:pPr>
            <w:r>
              <w:rPr>
                <w:rFonts w:ascii="Times New Roman" w:cs="Times New Roman" w:eastAsia="Times New Roman" w:hAnsi="Times New Roman"/>
                <w:sz w:val="18"/>
                <w:szCs w:val="18"/>
                <w:color w:val="auto"/>
              </w:rPr>
              <w:t>August 9,</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60" w:type="dxa"/>
            <w:vAlign w:val="bottom"/>
            <w:gridSpan w:val="32"/>
          </w:tcPr>
          <w:p>
            <w:pPr>
              <w:spacing w:after="0" w:line="195" w:lineRule="exact"/>
              <w:rPr>
                <w:rFonts w:ascii="Times New Roman" w:cs="Times New Roman" w:eastAsia="Times New Roman" w:hAnsi="Times New Roman"/>
                <w:sz w:val="18"/>
                <w:szCs w:val="18"/>
                <w:color w:val="0000FF"/>
              </w:rPr>
            </w:pPr>
            <w:hyperlink r:id="rId733">
              <w:r>
                <w:rPr>
                  <w:rFonts w:ascii="Times New Roman" w:cs="Times New Roman" w:eastAsia="Times New Roman" w:hAnsi="Times New Roman"/>
                  <w:sz w:val="18"/>
                  <w:szCs w:val="18"/>
                  <w:color w:val="0000FF"/>
                </w:rPr>
                <w:t>Plan, effective June 1, 2011</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gridSpan w:val="2"/>
          </w:tcPr>
          <w:p>
            <w:pPr>
              <w:ind w:left="140"/>
              <w:spacing w:after="0" w:line="195" w:lineRule="exact"/>
              <w:rPr>
                <w:sz w:val="20"/>
                <w:szCs w:val="20"/>
                <w:color w:val="auto"/>
              </w:rPr>
            </w:pPr>
            <w:r>
              <w:rPr>
                <w:rFonts w:ascii="Times New Roman" w:cs="Times New Roman" w:eastAsia="Times New Roman" w:hAnsi="Times New Roman"/>
                <w:sz w:val="18"/>
                <w:szCs w:val="18"/>
                <w:color w:val="auto"/>
              </w:rPr>
              <w:t>2011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Borders>
              <w:right w:val="single" w:sz="8" w:color="CFF0FC"/>
            </w:tcBorders>
          </w:tcPr>
          <w:p>
            <w:pPr>
              <w:spacing w:after="0"/>
              <w:rPr>
                <w:sz w:val="16"/>
                <w:szCs w:val="16"/>
                <w:color w:val="auto"/>
              </w:rPr>
            </w:pPr>
          </w:p>
        </w:tc>
        <w:tc>
          <w:tcPr>
            <w:tcW w:w="6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10.12†</w:t>
            </w:r>
          </w:p>
        </w:tc>
        <w:tc>
          <w:tcPr>
            <w:tcW w:w="140" w:type="dxa"/>
            <w:vAlign w:val="bottom"/>
            <w:tcBorders>
              <w:bottom w:val="single" w:sz="8" w:color="CFF0FC"/>
            </w:tcBorders>
            <w:shd w:val="clear" w:color="auto" w:fill="CFF0FC"/>
          </w:tcPr>
          <w:p>
            <w:pPr>
              <w:spacing w:after="0"/>
              <w:rPr>
                <w:sz w:val="16"/>
                <w:szCs w:val="16"/>
                <w:color w:val="auto"/>
              </w:rPr>
            </w:pPr>
          </w:p>
        </w:tc>
        <w:tc>
          <w:tcPr>
            <w:tcW w:w="6700" w:type="dxa"/>
            <w:vAlign w:val="bottom"/>
            <w:tcBorders>
              <w:bottom w:val="single" w:sz="8" w:color="0000FF"/>
            </w:tcBorders>
            <w:gridSpan w:val="29"/>
            <w:shd w:val="clear" w:color="auto" w:fill="CFF0FC"/>
          </w:tcPr>
          <w:p>
            <w:pPr>
              <w:spacing w:after="0" w:line="189" w:lineRule="exact"/>
              <w:rPr>
                <w:rFonts w:ascii="Times New Roman" w:cs="Times New Roman" w:eastAsia="Times New Roman" w:hAnsi="Times New Roman"/>
                <w:sz w:val="18"/>
                <w:szCs w:val="18"/>
                <w:color w:val="0000FF"/>
              </w:rPr>
            </w:pPr>
            <w:hyperlink r:id="rId734">
              <w:r>
                <w:rPr>
                  <w:rFonts w:ascii="Times New Roman" w:cs="Times New Roman" w:eastAsia="Times New Roman" w:hAnsi="Times New Roman"/>
                  <w:sz w:val="18"/>
                  <w:szCs w:val="18"/>
                  <w:color w:val="0000FF"/>
                </w:rPr>
                <w:t>Second Amendment to the Amended and Restated Willis U.S. 2005 Deferred Compensation</w:t>
              </w:r>
            </w:hyperlink>
          </w:p>
        </w:tc>
        <w:tc>
          <w:tcPr>
            <w:tcW w:w="160" w:type="dxa"/>
            <w:vAlign w:val="bottom"/>
            <w:tcBorders>
              <w:bottom w:val="single" w:sz="8" w:color="CFF0FC"/>
            </w:tcBorders>
            <w:gridSpan w:val="3"/>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10-Q</w:t>
            </w:r>
          </w:p>
        </w:tc>
        <w:tc>
          <w:tcPr>
            <w:tcW w:w="580" w:type="dxa"/>
            <w:vAlign w:val="bottom"/>
            <w:tcBorders>
              <w:bottom w:val="single" w:sz="8" w:color="CFF0FC"/>
            </w:tcBorders>
            <w:gridSpan w:val="2"/>
            <w:shd w:val="clear" w:color="auto" w:fill="CFF0FC"/>
          </w:tcPr>
          <w:p>
            <w:pPr>
              <w:jc w:val="center"/>
              <w:ind w:left="50"/>
              <w:spacing w:after="0" w:line="189" w:lineRule="exact"/>
              <w:rPr>
                <w:sz w:val="20"/>
                <w:szCs w:val="20"/>
                <w:color w:val="auto"/>
              </w:rPr>
            </w:pPr>
            <w:r>
              <w:rPr>
                <w:rFonts w:ascii="Times New Roman" w:cs="Times New Roman" w:eastAsia="Times New Roman" w:hAnsi="Times New Roman"/>
                <w:sz w:val="18"/>
                <w:szCs w:val="18"/>
                <w:color w:val="auto"/>
              </w:rPr>
              <w:t>10.6</w:t>
            </w:r>
          </w:p>
        </w:tc>
        <w:tc>
          <w:tcPr>
            <w:tcW w:w="1220" w:type="dxa"/>
            <w:vAlign w:val="bottom"/>
            <w:tcBorders>
              <w:bottom w:val="single" w:sz="8" w:color="CFF0FC"/>
            </w:tcBorders>
            <w:gridSpan w:val="3"/>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November 5,</w:t>
            </w:r>
          </w:p>
        </w:tc>
        <w:tc>
          <w:tcPr>
            <w:tcW w:w="12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right w:val="single" w:sz="8" w:color="CFF0FC"/>
            </w:tcBorders>
            <w:shd w:val="clear" w:color="auto" w:fill="CFF0FC"/>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60" w:type="dxa"/>
            <w:vAlign w:val="bottom"/>
            <w:gridSpan w:val="32"/>
            <w:shd w:val="clear" w:color="auto" w:fill="CFF0FC"/>
          </w:tcPr>
          <w:p>
            <w:pPr>
              <w:spacing w:after="0" w:line="195" w:lineRule="exact"/>
              <w:rPr>
                <w:rFonts w:ascii="Times New Roman" w:cs="Times New Roman" w:eastAsia="Times New Roman" w:hAnsi="Times New Roman"/>
                <w:sz w:val="18"/>
                <w:szCs w:val="18"/>
                <w:color w:val="0000FF"/>
              </w:rPr>
            </w:pPr>
            <w:hyperlink r:id="rId734">
              <w:r>
                <w:rPr>
                  <w:rFonts w:ascii="Times New Roman" w:cs="Times New Roman" w:eastAsia="Times New Roman" w:hAnsi="Times New Roman"/>
                  <w:sz w:val="18"/>
                  <w:szCs w:val="18"/>
                  <w:color w:val="0000FF"/>
                </w:rPr>
                <w:t>Plan</w:t>
              </w:r>
            </w:hyperlink>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ind w:left="140"/>
              <w:spacing w:after="0" w:line="195" w:lineRule="exact"/>
              <w:rPr>
                <w:sz w:val="20"/>
                <w:szCs w:val="20"/>
                <w:color w:val="auto"/>
              </w:rPr>
            </w:pPr>
            <w:r>
              <w:rPr>
                <w:rFonts w:ascii="Times New Roman" w:cs="Times New Roman" w:eastAsia="Times New Roman" w:hAnsi="Times New Roman"/>
                <w:sz w:val="18"/>
                <w:szCs w:val="18"/>
                <w:color w:val="auto"/>
              </w:rPr>
              <w:t>2013</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tcBorders>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Borders>
              <w:right w:val="single" w:sz="8" w:color="CFF0FC"/>
            </w:tcBorders>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0000FF"/>
            </w:tcBorders>
            <w:shd w:val="clear" w:color="auto" w:fill="CFF0FC"/>
          </w:tcPr>
          <w:p>
            <w:pPr>
              <w:spacing w:after="0"/>
              <w:rPr>
                <w:sz w:val="2"/>
                <w:szCs w:val="2"/>
                <w:color w:val="auto"/>
              </w:rPr>
            </w:pPr>
          </w:p>
        </w:tc>
        <w:tc>
          <w:tcPr>
            <w:tcW w:w="720" w:type="dxa"/>
            <w:vAlign w:val="bottom"/>
            <w:tcBorders>
              <w:top w:val="single" w:sz="8" w:color="CFF0FC"/>
            </w:tcBorders>
            <w:shd w:val="clear" w:color="auto" w:fill="CFF0FC"/>
          </w:tcPr>
          <w:p>
            <w:pPr>
              <w:spacing w:after="0"/>
              <w:rPr>
                <w:sz w:val="2"/>
                <w:szCs w:val="2"/>
                <w:color w:val="auto"/>
              </w:rPr>
            </w:pPr>
          </w:p>
        </w:tc>
        <w:tc>
          <w:tcPr>
            <w:tcW w:w="460" w:type="dxa"/>
            <w:vAlign w:val="bottom"/>
            <w:tcBorders>
              <w:top w:val="single" w:sz="8" w:color="CFF0FC"/>
            </w:tcBorders>
            <w:shd w:val="clear" w:color="auto" w:fill="CFF0FC"/>
          </w:tcPr>
          <w:p>
            <w:pPr>
              <w:spacing w:after="0"/>
              <w:rPr>
                <w:sz w:val="2"/>
                <w:szCs w:val="2"/>
                <w:color w:val="auto"/>
              </w:rPr>
            </w:pPr>
          </w:p>
        </w:tc>
        <w:tc>
          <w:tcPr>
            <w:tcW w:w="38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38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72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6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0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660" w:type="dxa"/>
            <w:vAlign w:val="bottom"/>
            <w:tcBorders>
              <w:top w:val="single" w:sz="8" w:color="CFF0FC"/>
              <w:right w:val="single" w:sz="8" w:color="CFF0FC"/>
            </w:tcBorders>
            <w:shd w:val="clear" w:color="auto" w:fill="CFF0FC"/>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10.13†</w:t>
            </w:r>
          </w:p>
        </w:tc>
        <w:tc>
          <w:tcPr>
            <w:tcW w:w="140" w:type="dxa"/>
            <w:vAlign w:val="bottom"/>
          </w:tcPr>
          <w:p>
            <w:pPr>
              <w:spacing w:after="0"/>
              <w:rPr>
                <w:sz w:val="16"/>
                <w:szCs w:val="16"/>
                <w:color w:val="auto"/>
              </w:rPr>
            </w:pPr>
          </w:p>
        </w:tc>
        <w:tc>
          <w:tcPr>
            <w:tcW w:w="6660" w:type="dxa"/>
            <w:vAlign w:val="bottom"/>
            <w:tcBorders>
              <w:bottom w:val="single" w:sz="8" w:color="0000FF"/>
            </w:tcBorders>
            <w:gridSpan w:val="27"/>
          </w:tcPr>
          <w:p>
            <w:pPr>
              <w:spacing w:after="0" w:line="189" w:lineRule="exact"/>
              <w:rPr>
                <w:rFonts w:ascii="Times New Roman" w:cs="Times New Roman" w:eastAsia="Times New Roman" w:hAnsi="Times New Roman"/>
                <w:sz w:val="18"/>
                <w:szCs w:val="18"/>
                <w:color w:val="0000FF"/>
              </w:rPr>
            </w:pPr>
            <w:hyperlink r:id="rId735">
              <w:r>
                <w:rPr>
                  <w:rFonts w:ascii="Times New Roman" w:cs="Times New Roman" w:eastAsia="Times New Roman" w:hAnsi="Times New Roman"/>
                  <w:sz w:val="18"/>
                  <w:szCs w:val="18"/>
                  <w:color w:val="0000FF"/>
                </w:rPr>
                <w:t>Amendment 2017-1 to the Amended and Restated Willis U.S. 2005 Deferred Compensation</w:t>
              </w:r>
            </w:hyperlink>
          </w:p>
        </w:tc>
        <w:tc>
          <w:tcPr>
            <w:tcW w:w="200" w:type="dxa"/>
            <w:vAlign w:val="bottom"/>
            <w:gridSpan w:val="5"/>
          </w:tcPr>
          <w:p>
            <w:pPr>
              <w:spacing w:after="0"/>
              <w:rPr>
                <w:sz w:val="16"/>
                <w:szCs w:val="16"/>
                <w:color w:val="auto"/>
              </w:rPr>
            </w:pPr>
          </w:p>
        </w:tc>
        <w:tc>
          <w:tcPr>
            <w:tcW w:w="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10-K</w:t>
            </w:r>
          </w:p>
        </w:tc>
        <w:tc>
          <w:tcPr>
            <w:tcW w:w="580" w:type="dxa"/>
            <w:vAlign w:val="bottom"/>
            <w:gridSpan w:val="2"/>
          </w:tcPr>
          <w:p>
            <w:pPr>
              <w:jc w:val="center"/>
              <w:ind w:left="50"/>
              <w:spacing w:after="0" w:line="189" w:lineRule="exact"/>
              <w:rPr>
                <w:sz w:val="20"/>
                <w:szCs w:val="20"/>
                <w:color w:val="auto"/>
              </w:rPr>
            </w:pPr>
            <w:r>
              <w:rPr>
                <w:rFonts w:ascii="Times New Roman" w:cs="Times New Roman" w:eastAsia="Times New Roman" w:hAnsi="Times New Roman"/>
                <w:sz w:val="18"/>
                <w:szCs w:val="18"/>
                <w:color w:val="auto"/>
                <w:w w:val="98"/>
              </w:rPr>
              <w:t>10.34</w:t>
            </w:r>
          </w:p>
        </w:tc>
        <w:tc>
          <w:tcPr>
            <w:tcW w:w="1220" w:type="dxa"/>
            <w:vAlign w:val="bottom"/>
            <w:gridSpan w:val="3"/>
          </w:tcPr>
          <w:p>
            <w:pPr>
              <w:ind w:left="140"/>
              <w:spacing w:after="0" w:line="189" w:lineRule="exact"/>
              <w:rPr>
                <w:sz w:val="20"/>
                <w:szCs w:val="20"/>
                <w:color w:val="auto"/>
              </w:rPr>
            </w:pPr>
            <w:r>
              <w:rPr>
                <w:rFonts w:ascii="Times New Roman" w:cs="Times New Roman" w:eastAsia="Times New Roman" w:hAnsi="Times New Roman"/>
                <w:sz w:val="18"/>
                <w:szCs w:val="18"/>
                <w:color w:val="auto"/>
              </w:rPr>
              <w:t>February 28,</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60" w:type="dxa"/>
            <w:vAlign w:val="bottom"/>
            <w:gridSpan w:val="32"/>
          </w:tcPr>
          <w:p>
            <w:pPr>
              <w:spacing w:after="0" w:line="195" w:lineRule="exact"/>
              <w:rPr>
                <w:rFonts w:ascii="Times New Roman" w:cs="Times New Roman" w:eastAsia="Times New Roman" w:hAnsi="Times New Roman"/>
                <w:sz w:val="18"/>
                <w:szCs w:val="18"/>
                <w:color w:val="0000FF"/>
              </w:rPr>
            </w:pPr>
            <w:hyperlink r:id="rId735">
              <w:r>
                <w:rPr>
                  <w:rFonts w:ascii="Times New Roman" w:cs="Times New Roman" w:eastAsia="Times New Roman" w:hAnsi="Times New Roman"/>
                  <w:sz w:val="18"/>
                  <w:szCs w:val="18"/>
                  <w:color w:val="0000FF"/>
                </w:rPr>
                <w:t>Plan</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gridSpan w:val="2"/>
          </w:tcPr>
          <w:p>
            <w:pPr>
              <w:ind w:left="140"/>
              <w:spacing w:after="0" w:line="195" w:lineRule="exact"/>
              <w:rPr>
                <w:sz w:val="20"/>
                <w:szCs w:val="20"/>
                <w:color w:val="auto"/>
              </w:rPr>
            </w:pPr>
            <w:r>
              <w:rPr>
                <w:rFonts w:ascii="Times New Roman" w:cs="Times New Roman" w:eastAsia="Times New Roman" w:hAnsi="Times New Roman"/>
                <w:sz w:val="18"/>
                <w:szCs w:val="18"/>
                <w:color w:val="auto"/>
              </w:rPr>
              <w:t>2018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Borders>
              <w:right w:val="single" w:sz="8" w:color="CFF0FC"/>
            </w:tcBorders>
          </w:tcPr>
          <w:p>
            <w:pPr>
              <w:spacing w:after="0"/>
              <w:rPr>
                <w:sz w:val="16"/>
                <w:szCs w:val="16"/>
                <w:color w:val="auto"/>
              </w:rPr>
            </w:pPr>
          </w:p>
        </w:tc>
        <w:tc>
          <w:tcPr>
            <w:tcW w:w="6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10.14†</w:t>
            </w:r>
          </w:p>
        </w:tc>
        <w:tc>
          <w:tcPr>
            <w:tcW w:w="140" w:type="dxa"/>
            <w:vAlign w:val="bottom"/>
            <w:tcBorders>
              <w:bottom w:val="single" w:sz="8" w:color="CFF0FC"/>
            </w:tcBorders>
            <w:shd w:val="clear" w:color="auto" w:fill="CFF0FC"/>
          </w:tcPr>
          <w:p>
            <w:pPr>
              <w:spacing w:after="0"/>
              <w:rPr>
                <w:sz w:val="16"/>
                <w:szCs w:val="16"/>
                <w:color w:val="auto"/>
              </w:rPr>
            </w:pPr>
          </w:p>
        </w:tc>
        <w:tc>
          <w:tcPr>
            <w:tcW w:w="6660" w:type="dxa"/>
            <w:vAlign w:val="bottom"/>
            <w:tcBorders>
              <w:bottom w:val="single" w:sz="8" w:color="0000FF"/>
            </w:tcBorders>
            <w:gridSpan w:val="27"/>
            <w:shd w:val="clear" w:color="auto" w:fill="CFF0FC"/>
          </w:tcPr>
          <w:p>
            <w:pPr>
              <w:spacing w:after="0" w:line="189" w:lineRule="exact"/>
              <w:rPr>
                <w:rFonts w:ascii="Times New Roman" w:cs="Times New Roman" w:eastAsia="Times New Roman" w:hAnsi="Times New Roman"/>
                <w:sz w:val="18"/>
                <w:szCs w:val="18"/>
                <w:color w:val="0000FF"/>
              </w:rPr>
            </w:pPr>
            <w:hyperlink r:id="rId736">
              <w:r>
                <w:rPr>
                  <w:rFonts w:ascii="Times New Roman" w:cs="Times New Roman" w:eastAsia="Times New Roman" w:hAnsi="Times New Roman"/>
                  <w:sz w:val="18"/>
                  <w:szCs w:val="18"/>
                  <w:color w:val="0000FF"/>
                </w:rPr>
                <w:t>Amendment 2019-1 to the Amended and Restated Willis U.S. 2005 Deferred Compensation</w:t>
              </w:r>
            </w:hyperlink>
          </w:p>
        </w:tc>
        <w:tc>
          <w:tcPr>
            <w:tcW w:w="200" w:type="dxa"/>
            <w:vAlign w:val="bottom"/>
            <w:tcBorders>
              <w:bottom w:val="single" w:sz="8" w:color="CFF0FC"/>
            </w:tcBorders>
            <w:gridSpan w:val="5"/>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10-Q</w:t>
            </w:r>
          </w:p>
        </w:tc>
        <w:tc>
          <w:tcPr>
            <w:tcW w:w="580" w:type="dxa"/>
            <w:vAlign w:val="bottom"/>
            <w:tcBorders>
              <w:bottom w:val="single" w:sz="8" w:color="CFF0FC"/>
            </w:tcBorders>
            <w:gridSpan w:val="2"/>
            <w:shd w:val="clear" w:color="auto" w:fill="CFF0FC"/>
          </w:tcPr>
          <w:p>
            <w:pPr>
              <w:jc w:val="center"/>
              <w:ind w:left="50"/>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1220" w:type="dxa"/>
            <w:vAlign w:val="bottom"/>
            <w:tcBorders>
              <w:bottom w:val="single" w:sz="8" w:color="CFF0FC"/>
            </w:tcBorders>
            <w:gridSpan w:val="3"/>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November 1,</w:t>
            </w:r>
          </w:p>
        </w:tc>
        <w:tc>
          <w:tcPr>
            <w:tcW w:w="12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right w:val="single" w:sz="8" w:color="CFF0FC"/>
            </w:tcBorders>
            <w:shd w:val="clear" w:color="auto" w:fill="CFF0FC"/>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60" w:type="dxa"/>
            <w:vAlign w:val="bottom"/>
            <w:gridSpan w:val="32"/>
            <w:shd w:val="clear" w:color="auto" w:fill="CFF0FC"/>
          </w:tcPr>
          <w:p>
            <w:pPr>
              <w:spacing w:after="0" w:line="195" w:lineRule="exact"/>
              <w:rPr>
                <w:rFonts w:ascii="Times New Roman" w:cs="Times New Roman" w:eastAsia="Times New Roman" w:hAnsi="Times New Roman"/>
                <w:sz w:val="18"/>
                <w:szCs w:val="18"/>
                <w:color w:val="0000FF"/>
              </w:rPr>
            </w:pPr>
            <w:hyperlink r:id="rId736">
              <w:r>
                <w:rPr>
                  <w:rFonts w:ascii="Times New Roman" w:cs="Times New Roman" w:eastAsia="Times New Roman" w:hAnsi="Times New Roman"/>
                  <w:sz w:val="18"/>
                  <w:szCs w:val="18"/>
                  <w:color w:val="0000FF"/>
                </w:rPr>
                <w:t>Plan</w:t>
              </w:r>
            </w:hyperlink>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ind w:left="140"/>
              <w:spacing w:after="0" w:line="195" w:lineRule="exact"/>
              <w:rPr>
                <w:sz w:val="20"/>
                <w:szCs w:val="20"/>
                <w:color w:val="auto"/>
              </w:rPr>
            </w:pPr>
            <w:r>
              <w:rPr>
                <w:rFonts w:ascii="Times New Roman" w:cs="Times New Roman" w:eastAsia="Times New Roman" w:hAnsi="Times New Roman"/>
                <w:sz w:val="18"/>
                <w:szCs w:val="18"/>
                <w:color w:val="auto"/>
              </w:rPr>
              <w:t>2019</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tcBorders>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Borders>
              <w:right w:val="single" w:sz="8" w:color="CFF0FC"/>
            </w:tcBorders>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0000FF"/>
            </w:tcBorders>
            <w:shd w:val="clear" w:color="auto" w:fill="CFF0FC"/>
          </w:tcPr>
          <w:p>
            <w:pPr>
              <w:spacing w:after="0"/>
              <w:rPr>
                <w:sz w:val="2"/>
                <w:szCs w:val="2"/>
                <w:color w:val="auto"/>
              </w:rPr>
            </w:pPr>
          </w:p>
        </w:tc>
        <w:tc>
          <w:tcPr>
            <w:tcW w:w="720" w:type="dxa"/>
            <w:vAlign w:val="bottom"/>
            <w:tcBorders>
              <w:top w:val="single" w:sz="8" w:color="CFF0FC"/>
            </w:tcBorders>
            <w:shd w:val="clear" w:color="auto" w:fill="CFF0FC"/>
          </w:tcPr>
          <w:p>
            <w:pPr>
              <w:spacing w:after="0"/>
              <w:rPr>
                <w:sz w:val="2"/>
                <w:szCs w:val="2"/>
                <w:color w:val="auto"/>
              </w:rPr>
            </w:pPr>
          </w:p>
        </w:tc>
        <w:tc>
          <w:tcPr>
            <w:tcW w:w="460" w:type="dxa"/>
            <w:vAlign w:val="bottom"/>
            <w:tcBorders>
              <w:top w:val="single" w:sz="8" w:color="CFF0FC"/>
            </w:tcBorders>
            <w:shd w:val="clear" w:color="auto" w:fill="CFF0FC"/>
          </w:tcPr>
          <w:p>
            <w:pPr>
              <w:spacing w:after="0"/>
              <w:rPr>
                <w:sz w:val="2"/>
                <w:szCs w:val="2"/>
                <w:color w:val="auto"/>
              </w:rPr>
            </w:pPr>
          </w:p>
        </w:tc>
        <w:tc>
          <w:tcPr>
            <w:tcW w:w="38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38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72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6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0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660" w:type="dxa"/>
            <w:vAlign w:val="bottom"/>
            <w:tcBorders>
              <w:top w:val="single" w:sz="8" w:color="CFF0FC"/>
              <w:right w:val="single" w:sz="8" w:color="CFF0FC"/>
            </w:tcBorders>
            <w:shd w:val="clear" w:color="auto" w:fill="CFF0FC"/>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10.15†</w:t>
            </w:r>
          </w:p>
        </w:tc>
        <w:tc>
          <w:tcPr>
            <w:tcW w:w="140" w:type="dxa"/>
            <w:vAlign w:val="bottom"/>
          </w:tcPr>
          <w:p>
            <w:pPr>
              <w:spacing w:after="0"/>
              <w:rPr>
                <w:sz w:val="16"/>
                <w:szCs w:val="16"/>
                <w:color w:val="auto"/>
              </w:rPr>
            </w:pPr>
          </w:p>
        </w:tc>
        <w:tc>
          <w:tcPr>
            <w:tcW w:w="6860" w:type="dxa"/>
            <w:vAlign w:val="bottom"/>
            <w:gridSpan w:val="32"/>
          </w:tcPr>
          <w:p>
            <w:pPr>
              <w:spacing w:after="0" w:line="189" w:lineRule="exact"/>
              <w:rPr>
                <w:rFonts w:ascii="Times New Roman" w:cs="Times New Roman" w:eastAsia="Times New Roman" w:hAnsi="Times New Roman"/>
                <w:sz w:val="18"/>
                <w:szCs w:val="18"/>
                <w:color w:val="0000FF"/>
              </w:rPr>
            </w:pPr>
            <w:hyperlink r:id="rId737">
              <w:r>
                <w:rPr>
                  <w:rFonts w:ascii="Times New Roman" w:cs="Times New Roman" w:eastAsia="Times New Roman" w:hAnsi="Times New Roman"/>
                  <w:sz w:val="18"/>
                  <w:szCs w:val="18"/>
                  <w:color w:val="0000FF"/>
                </w:rPr>
                <w:t>Form of Deed of Indemnity of Willis Towers Watson Public Limited Company</w:t>
              </w:r>
            </w:hyperlink>
          </w:p>
        </w:tc>
        <w:tc>
          <w:tcPr>
            <w:tcW w:w="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gridSpan w:val="2"/>
          </w:tcPr>
          <w:p>
            <w:pPr>
              <w:jc w:val="center"/>
              <w:ind w:left="5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220" w:type="dxa"/>
            <w:vAlign w:val="bottom"/>
            <w:gridSpan w:val="3"/>
          </w:tcPr>
          <w:p>
            <w:pPr>
              <w:ind w:left="140"/>
              <w:spacing w:after="0" w:line="189" w:lineRule="exact"/>
              <w:rPr>
                <w:sz w:val="20"/>
                <w:szCs w:val="20"/>
                <w:color w:val="auto"/>
              </w:rPr>
            </w:pPr>
            <w:r>
              <w:rPr>
                <w:rFonts w:ascii="Times New Roman" w:cs="Times New Roman" w:eastAsia="Times New Roman" w:hAnsi="Times New Roman"/>
                <w:sz w:val="18"/>
                <w:szCs w:val="18"/>
                <w:color w:val="auto"/>
              </w:rPr>
              <w:t>January 5,</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720" w:type="dxa"/>
            <w:vAlign w:val="bottom"/>
            <w:tcBorders>
              <w:top w:val="single" w:sz="8" w:color="0000FF"/>
            </w:tcBorders>
          </w:tcPr>
          <w:p>
            <w:pPr>
              <w:spacing w:after="0"/>
              <w:rPr>
                <w:sz w:val="21"/>
                <w:szCs w:val="21"/>
                <w:color w:val="auto"/>
              </w:rPr>
            </w:pPr>
          </w:p>
        </w:tc>
        <w:tc>
          <w:tcPr>
            <w:tcW w:w="460" w:type="dxa"/>
            <w:vAlign w:val="bottom"/>
            <w:tcBorders>
              <w:top w:val="single" w:sz="8" w:color="0000FF"/>
            </w:tcBorders>
          </w:tcPr>
          <w:p>
            <w:pPr>
              <w:spacing w:after="0"/>
              <w:rPr>
                <w:sz w:val="21"/>
                <w:szCs w:val="21"/>
                <w:color w:val="auto"/>
              </w:rPr>
            </w:pPr>
          </w:p>
        </w:tc>
        <w:tc>
          <w:tcPr>
            <w:tcW w:w="38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38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72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2016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60" w:type="dxa"/>
            <w:vAlign w:val="bottom"/>
            <w:tcBorders>
              <w:right w:val="single" w:sz="8" w:color="CFF0FC"/>
            </w:tcBorders>
          </w:tcPr>
          <w:p>
            <w:pPr>
              <w:spacing w:after="0"/>
              <w:rPr>
                <w:sz w:val="17"/>
                <w:szCs w:val="17"/>
                <w:color w:val="auto"/>
              </w:rPr>
            </w:pPr>
          </w:p>
        </w:tc>
        <w:tc>
          <w:tcPr>
            <w:tcW w:w="640" w:type="dxa"/>
            <w:vAlign w:val="bottom"/>
            <w:shd w:val="clear" w:color="auto" w:fill="CFF0FC"/>
          </w:tcPr>
          <w:p>
            <w:pPr>
              <w:jc w:val="center"/>
              <w:spacing w:after="0" w:line="195" w:lineRule="exact"/>
              <w:rPr>
                <w:sz w:val="20"/>
                <w:szCs w:val="20"/>
                <w:color w:val="auto"/>
              </w:rPr>
            </w:pPr>
            <w:r>
              <w:rPr>
                <w:rFonts w:ascii="Times New Roman" w:cs="Times New Roman" w:eastAsia="Times New Roman" w:hAnsi="Times New Roman"/>
                <w:sz w:val="18"/>
                <w:szCs w:val="18"/>
                <w:color w:val="auto"/>
              </w:rPr>
              <w:t>10.16†</w:t>
            </w:r>
          </w:p>
        </w:tc>
        <w:tc>
          <w:tcPr>
            <w:tcW w:w="140" w:type="dxa"/>
            <w:vAlign w:val="bottom"/>
            <w:shd w:val="clear" w:color="auto" w:fill="CFF0FC"/>
          </w:tcPr>
          <w:p>
            <w:pPr>
              <w:spacing w:after="0"/>
              <w:rPr>
                <w:sz w:val="17"/>
                <w:szCs w:val="17"/>
                <w:color w:val="auto"/>
              </w:rPr>
            </w:pPr>
          </w:p>
        </w:tc>
        <w:tc>
          <w:tcPr>
            <w:tcW w:w="6860" w:type="dxa"/>
            <w:vAlign w:val="bottom"/>
            <w:gridSpan w:val="32"/>
            <w:shd w:val="clear" w:color="auto" w:fill="CFF0FC"/>
          </w:tcPr>
          <w:p>
            <w:pPr>
              <w:spacing w:after="0" w:line="195" w:lineRule="exact"/>
              <w:rPr>
                <w:rFonts w:ascii="Times New Roman" w:cs="Times New Roman" w:eastAsia="Times New Roman" w:hAnsi="Times New Roman"/>
                <w:sz w:val="18"/>
                <w:szCs w:val="18"/>
                <w:color w:val="0000FF"/>
              </w:rPr>
            </w:pPr>
            <w:hyperlink r:id="rId738">
              <w:r>
                <w:rPr>
                  <w:rFonts w:ascii="Times New Roman" w:cs="Times New Roman" w:eastAsia="Times New Roman" w:hAnsi="Times New Roman"/>
                  <w:sz w:val="18"/>
                  <w:szCs w:val="18"/>
                  <w:color w:val="0000FF"/>
                </w:rPr>
                <w:t>Form of Indemnification Agreement of Willis North America Inc.</w:t>
              </w:r>
            </w:hyperlink>
          </w:p>
        </w:tc>
        <w:tc>
          <w:tcPr>
            <w:tcW w:w="540" w:type="dxa"/>
            <w:vAlign w:val="bottom"/>
            <w:shd w:val="clear" w:color="auto" w:fill="CFF0FC"/>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gridSpan w:val="2"/>
            <w:shd w:val="clear" w:color="auto" w:fill="CFF0FC"/>
          </w:tcPr>
          <w:p>
            <w:pPr>
              <w:jc w:val="center"/>
              <w:ind w:left="50"/>
              <w:spacing w:after="0" w:line="195" w:lineRule="exact"/>
              <w:rPr>
                <w:sz w:val="20"/>
                <w:szCs w:val="20"/>
                <w:color w:val="auto"/>
              </w:rPr>
            </w:pPr>
            <w:r>
              <w:rPr>
                <w:rFonts w:ascii="Times New Roman" w:cs="Times New Roman" w:eastAsia="Times New Roman" w:hAnsi="Times New Roman"/>
                <w:sz w:val="18"/>
                <w:szCs w:val="18"/>
                <w:color w:val="auto"/>
              </w:rPr>
              <w:t>10.2</w:t>
            </w:r>
          </w:p>
        </w:tc>
        <w:tc>
          <w:tcPr>
            <w:tcW w:w="1220" w:type="dxa"/>
            <w:vAlign w:val="bottom"/>
            <w:gridSpan w:val="3"/>
            <w:shd w:val="clear" w:color="auto" w:fill="CFF0FC"/>
          </w:tcPr>
          <w:p>
            <w:pPr>
              <w:ind w:left="140"/>
              <w:spacing w:after="0" w:line="195" w:lineRule="exact"/>
              <w:rPr>
                <w:sz w:val="20"/>
                <w:szCs w:val="20"/>
                <w:color w:val="auto"/>
              </w:rPr>
            </w:pPr>
            <w:r>
              <w:rPr>
                <w:rFonts w:ascii="Times New Roman" w:cs="Times New Roman" w:eastAsia="Times New Roman" w:hAnsi="Times New Roman"/>
                <w:sz w:val="18"/>
                <w:szCs w:val="18"/>
                <w:color w:val="auto"/>
              </w:rPr>
              <w:t>January 5,</w:t>
            </w:r>
          </w:p>
        </w:tc>
        <w:tc>
          <w:tcPr>
            <w:tcW w:w="120" w:type="dxa"/>
            <w:vAlign w:val="bottom"/>
            <w:shd w:val="clear" w:color="auto" w:fill="CFF0FC"/>
          </w:tcPr>
          <w:p>
            <w:pPr>
              <w:spacing w:after="0"/>
              <w:rPr>
                <w:sz w:val="17"/>
                <w:szCs w:val="17"/>
                <w:color w:val="auto"/>
              </w:rPr>
            </w:pPr>
          </w:p>
        </w:tc>
        <w:tc>
          <w:tcPr>
            <w:tcW w:w="660" w:type="dxa"/>
            <w:vAlign w:val="bottom"/>
            <w:tcBorders>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60" w:type="dxa"/>
            <w:vAlign w:val="bottom"/>
            <w:tcBorders>
              <w:right w:val="single" w:sz="8" w:color="CFF0FC"/>
            </w:tcBorders>
          </w:tcPr>
          <w:p>
            <w:pPr>
              <w:spacing w:after="0"/>
              <w:rPr>
                <w:sz w:val="21"/>
                <w:szCs w:val="21"/>
                <w:color w:val="auto"/>
              </w:rPr>
            </w:pPr>
          </w:p>
        </w:tc>
        <w:tc>
          <w:tcPr>
            <w:tcW w:w="640" w:type="dxa"/>
            <w:vAlign w:val="bottom"/>
            <w:tcBorders>
              <w:top w:val="single" w:sz="8" w:color="CFF0FC"/>
            </w:tcBorders>
            <w:shd w:val="clear" w:color="auto" w:fill="CFF0FC"/>
          </w:tcPr>
          <w:p>
            <w:pPr>
              <w:spacing w:after="0"/>
              <w:rPr>
                <w:sz w:val="21"/>
                <w:szCs w:val="21"/>
                <w:color w:val="auto"/>
              </w:rPr>
            </w:pPr>
          </w:p>
        </w:tc>
        <w:tc>
          <w:tcPr>
            <w:tcW w:w="140" w:type="dxa"/>
            <w:vAlign w:val="bottom"/>
            <w:tcBorders>
              <w:top w:val="single" w:sz="8" w:color="CFF0FC"/>
            </w:tcBorders>
            <w:shd w:val="clear" w:color="auto" w:fill="CFF0FC"/>
          </w:tcPr>
          <w:p>
            <w:pPr>
              <w:spacing w:after="0"/>
              <w:rPr>
                <w:sz w:val="21"/>
                <w:szCs w:val="21"/>
                <w:color w:val="auto"/>
              </w:rPr>
            </w:pPr>
          </w:p>
        </w:tc>
        <w:tc>
          <w:tcPr>
            <w:tcW w:w="320" w:type="dxa"/>
            <w:vAlign w:val="bottom"/>
            <w:tcBorders>
              <w:top w:val="single" w:sz="8" w:color="0000FF"/>
            </w:tcBorders>
            <w:shd w:val="clear" w:color="auto" w:fill="CFF0FC"/>
          </w:tcPr>
          <w:p>
            <w:pPr>
              <w:spacing w:after="0"/>
              <w:rPr>
                <w:sz w:val="21"/>
                <w:szCs w:val="21"/>
                <w:color w:val="auto"/>
              </w:rPr>
            </w:pPr>
          </w:p>
        </w:tc>
        <w:tc>
          <w:tcPr>
            <w:tcW w:w="720" w:type="dxa"/>
            <w:vAlign w:val="bottom"/>
            <w:tcBorders>
              <w:top w:val="single" w:sz="8" w:color="0000FF"/>
            </w:tcBorders>
            <w:shd w:val="clear" w:color="auto" w:fill="CFF0FC"/>
          </w:tcPr>
          <w:p>
            <w:pPr>
              <w:spacing w:after="0"/>
              <w:rPr>
                <w:sz w:val="21"/>
                <w:szCs w:val="21"/>
                <w:color w:val="auto"/>
              </w:rPr>
            </w:pPr>
          </w:p>
        </w:tc>
        <w:tc>
          <w:tcPr>
            <w:tcW w:w="460" w:type="dxa"/>
            <w:vAlign w:val="bottom"/>
            <w:tcBorders>
              <w:top w:val="single" w:sz="8" w:color="0000FF"/>
            </w:tcBorders>
            <w:shd w:val="clear" w:color="auto" w:fill="CFF0FC"/>
          </w:tcPr>
          <w:p>
            <w:pPr>
              <w:spacing w:after="0"/>
              <w:rPr>
                <w:sz w:val="21"/>
                <w:szCs w:val="21"/>
                <w:color w:val="auto"/>
              </w:rPr>
            </w:pPr>
          </w:p>
        </w:tc>
        <w:tc>
          <w:tcPr>
            <w:tcW w:w="380" w:type="dxa"/>
            <w:vAlign w:val="bottom"/>
            <w:tcBorders>
              <w:top w:val="single" w:sz="8" w:color="0000FF"/>
            </w:tcBorders>
            <w:shd w:val="clear" w:color="auto" w:fill="CFF0FC"/>
          </w:tcPr>
          <w:p>
            <w:pPr>
              <w:spacing w:after="0"/>
              <w:rPr>
                <w:sz w:val="21"/>
                <w:szCs w:val="21"/>
                <w:color w:val="auto"/>
              </w:rPr>
            </w:pPr>
          </w:p>
        </w:tc>
        <w:tc>
          <w:tcPr>
            <w:tcW w:w="120" w:type="dxa"/>
            <w:vAlign w:val="bottom"/>
            <w:tcBorders>
              <w:top w:val="single" w:sz="8" w:color="0000FF"/>
            </w:tcBorders>
            <w:shd w:val="clear" w:color="auto" w:fill="CFF0FC"/>
          </w:tcPr>
          <w:p>
            <w:pPr>
              <w:spacing w:after="0"/>
              <w:rPr>
                <w:sz w:val="21"/>
                <w:szCs w:val="21"/>
                <w:color w:val="auto"/>
              </w:rPr>
            </w:pPr>
          </w:p>
        </w:tc>
        <w:tc>
          <w:tcPr>
            <w:tcW w:w="1380" w:type="dxa"/>
            <w:vAlign w:val="bottom"/>
            <w:tcBorders>
              <w:top w:val="single" w:sz="8" w:color="0000FF"/>
            </w:tcBorders>
            <w:shd w:val="clear" w:color="auto" w:fill="CFF0FC"/>
          </w:tcPr>
          <w:p>
            <w:pPr>
              <w:spacing w:after="0"/>
              <w:rPr>
                <w:sz w:val="21"/>
                <w:szCs w:val="21"/>
                <w:color w:val="auto"/>
              </w:rPr>
            </w:pPr>
          </w:p>
        </w:tc>
        <w:tc>
          <w:tcPr>
            <w:tcW w:w="220" w:type="dxa"/>
            <w:vAlign w:val="bottom"/>
            <w:tcBorders>
              <w:top w:val="single" w:sz="8" w:color="0000FF"/>
            </w:tcBorders>
            <w:shd w:val="clear" w:color="auto" w:fill="CFF0FC"/>
          </w:tcPr>
          <w:p>
            <w:pPr>
              <w:spacing w:after="0"/>
              <w:rPr>
                <w:sz w:val="21"/>
                <w:szCs w:val="21"/>
                <w:color w:val="auto"/>
              </w:rPr>
            </w:pPr>
          </w:p>
        </w:tc>
        <w:tc>
          <w:tcPr>
            <w:tcW w:w="220" w:type="dxa"/>
            <w:vAlign w:val="bottom"/>
            <w:tcBorders>
              <w:top w:val="single" w:sz="8" w:color="0000FF"/>
            </w:tcBorders>
            <w:shd w:val="clear" w:color="auto" w:fill="CFF0FC"/>
          </w:tcPr>
          <w:p>
            <w:pPr>
              <w:spacing w:after="0"/>
              <w:rPr>
                <w:sz w:val="21"/>
                <w:szCs w:val="21"/>
                <w:color w:val="auto"/>
              </w:rPr>
            </w:pPr>
          </w:p>
        </w:tc>
        <w:tc>
          <w:tcPr>
            <w:tcW w:w="720" w:type="dxa"/>
            <w:vAlign w:val="bottom"/>
            <w:tcBorders>
              <w:top w:val="single" w:sz="8" w:color="0000FF"/>
            </w:tcBorders>
            <w:shd w:val="clear" w:color="auto" w:fill="CFF0FC"/>
          </w:tcPr>
          <w:p>
            <w:pPr>
              <w:spacing w:after="0"/>
              <w:rPr>
                <w:sz w:val="21"/>
                <w:szCs w:val="21"/>
                <w:color w:val="auto"/>
              </w:rPr>
            </w:pPr>
          </w:p>
        </w:tc>
        <w:tc>
          <w:tcPr>
            <w:tcW w:w="140" w:type="dxa"/>
            <w:vAlign w:val="bottom"/>
            <w:tcBorders>
              <w:top w:val="single" w:sz="8" w:color="0000FF"/>
            </w:tcBorders>
            <w:shd w:val="clear" w:color="auto" w:fill="CFF0FC"/>
          </w:tcPr>
          <w:p>
            <w:pPr>
              <w:spacing w:after="0"/>
              <w:rPr>
                <w:sz w:val="21"/>
                <w:szCs w:val="21"/>
                <w:color w:val="auto"/>
              </w:rPr>
            </w:pPr>
          </w:p>
        </w:tc>
        <w:tc>
          <w:tcPr>
            <w:tcW w:w="60" w:type="dxa"/>
            <w:vAlign w:val="bottom"/>
            <w:tcBorders>
              <w:top w:val="single" w:sz="8" w:color="0000FF"/>
            </w:tcBorders>
            <w:shd w:val="clear" w:color="auto" w:fill="CFF0FC"/>
          </w:tcPr>
          <w:p>
            <w:pPr>
              <w:spacing w:after="0"/>
              <w:rPr>
                <w:sz w:val="21"/>
                <w:szCs w:val="21"/>
                <w:color w:val="auto"/>
              </w:rPr>
            </w:pPr>
          </w:p>
        </w:tc>
        <w:tc>
          <w:tcPr>
            <w:tcW w:w="300" w:type="dxa"/>
            <w:vAlign w:val="bottom"/>
            <w:tcBorders>
              <w:top w:val="single" w:sz="8" w:color="CFF0FC"/>
            </w:tcBorders>
            <w:shd w:val="clear" w:color="auto" w:fill="CFF0FC"/>
          </w:tcPr>
          <w:p>
            <w:pPr>
              <w:spacing w:after="0"/>
              <w:rPr>
                <w:sz w:val="21"/>
                <w:szCs w:val="21"/>
                <w:color w:val="auto"/>
              </w:rPr>
            </w:pPr>
          </w:p>
        </w:tc>
        <w:tc>
          <w:tcPr>
            <w:tcW w:w="100" w:type="dxa"/>
            <w:vAlign w:val="bottom"/>
            <w:tcBorders>
              <w:top w:val="single" w:sz="8" w:color="CFF0FC"/>
            </w:tcBorders>
            <w:shd w:val="clear" w:color="auto" w:fill="CFF0FC"/>
          </w:tcPr>
          <w:p>
            <w:pPr>
              <w:spacing w:after="0"/>
              <w:rPr>
                <w:sz w:val="21"/>
                <w:szCs w:val="21"/>
                <w:color w:val="auto"/>
              </w:rPr>
            </w:pPr>
          </w:p>
        </w:tc>
        <w:tc>
          <w:tcPr>
            <w:tcW w:w="320" w:type="dxa"/>
            <w:vAlign w:val="bottom"/>
            <w:tcBorders>
              <w:top w:val="single" w:sz="8" w:color="CFF0FC"/>
            </w:tcBorders>
            <w:shd w:val="clear" w:color="auto" w:fill="CFF0FC"/>
          </w:tcPr>
          <w:p>
            <w:pPr>
              <w:spacing w:after="0"/>
              <w:rPr>
                <w:sz w:val="21"/>
                <w:szCs w:val="21"/>
                <w:color w:val="auto"/>
              </w:rPr>
            </w:pPr>
          </w:p>
        </w:tc>
        <w:tc>
          <w:tcPr>
            <w:tcW w:w="180" w:type="dxa"/>
            <w:vAlign w:val="bottom"/>
            <w:tcBorders>
              <w:top w:val="single" w:sz="8" w:color="CFF0FC"/>
            </w:tcBorders>
            <w:shd w:val="clear" w:color="auto" w:fill="CFF0FC"/>
          </w:tcPr>
          <w:p>
            <w:pPr>
              <w:spacing w:after="0"/>
              <w:rPr>
                <w:sz w:val="21"/>
                <w:szCs w:val="21"/>
                <w:color w:val="auto"/>
              </w:rPr>
            </w:pPr>
          </w:p>
        </w:tc>
        <w:tc>
          <w:tcPr>
            <w:tcW w:w="40" w:type="dxa"/>
            <w:vAlign w:val="bottom"/>
            <w:tcBorders>
              <w:top w:val="single" w:sz="8" w:color="CFF0FC"/>
            </w:tcBorders>
            <w:shd w:val="clear" w:color="auto" w:fill="CFF0FC"/>
          </w:tcPr>
          <w:p>
            <w:pPr>
              <w:spacing w:after="0"/>
              <w:rPr>
                <w:sz w:val="21"/>
                <w:szCs w:val="21"/>
                <w:color w:val="auto"/>
              </w:rPr>
            </w:pPr>
          </w:p>
        </w:tc>
        <w:tc>
          <w:tcPr>
            <w:tcW w:w="62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6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6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4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4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6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120" w:type="dxa"/>
            <w:vAlign w:val="bottom"/>
            <w:tcBorders>
              <w:top w:val="single" w:sz="8" w:color="CFF0FC"/>
            </w:tcBorders>
            <w:shd w:val="clear" w:color="auto" w:fill="CFF0FC"/>
          </w:tcPr>
          <w:p>
            <w:pPr>
              <w:spacing w:after="0"/>
              <w:rPr>
                <w:sz w:val="21"/>
                <w:szCs w:val="21"/>
                <w:color w:val="auto"/>
              </w:rPr>
            </w:pPr>
          </w:p>
        </w:tc>
        <w:tc>
          <w:tcPr>
            <w:tcW w:w="540" w:type="dxa"/>
            <w:vAlign w:val="bottom"/>
            <w:tcBorders>
              <w:top w:val="single" w:sz="8" w:color="CFF0FC"/>
            </w:tcBorders>
            <w:shd w:val="clear" w:color="auto" w:fill="CFF0FC"/>
          </w:tcPr>
          <w:p>
            <w:pPr>
              <w:spacing w:after="0"/>
              <w:rPr>
                <w:sz w:val="21"/>
                <w:szCs w:val="21"/>
                <w:color w:val="auto"/>
              </w:rPr>
            </w:pPr>
          </w:p>
        </w:tc>
        <w:tc>
          <w:tcPr>
            <w:tcW w:w="140" w:type="dxa"/>
            <w:vAlign w:val="bottom"/>
            <w:tcBorders>
              <w:top w:val="single" w:sz="8" w:color="CFF0FC"/>
            </w:tcBorders>
            <w:shd w:val="clear" w:color="auto" w:fill="CFF0FC"/>
          </w:tcPr>
          <w:p>
            <w:pPr>
              <w:spacing w:after="0"/>
              <w:rPr>
                <w:sz w:val="21"/>
                <w:szCs w:val="21"/>
                <w:color w:val="auto"/>
              </w:rPr>
            </w:pPr>
          </w:p>
        </w:tc>
        <w:tc>
          <w:tcPr>
            <w:tcW w:w="440" w:type="dxa"/>
            <w:vAlign w:val="bottom"/>
            <w:tcBorders>
              <w:top w:val="single" w:sz="8" w:color="CFF0FC"/>
            </w:tcBorders>
            <w:shd w:val="clear" w:color="auto" w:fill="CFF0FC"/>
          </w:tcPr>
          <w:p>
            <w:pPr>
              <w:spacing w:after="0"/>
              <w:rPr>
                <w:sz w:val="21"/>
                <w:szCs w:val="21"/>
                <w:color w:val="auto"/>
              </w:rPr>
            </w:pPr>
          </w:p>
        </w:tc>
        <w:tc>
          <w:tcPr>
            <w:tcW w:w="1200" w:type="dxa"/>
            <w:vAlign w:val="bottom"/>
            <w:tcBorders>
              <w:top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2016</w:t>
            </w:r>
          </w:p>
        </w:tc>
        <w:tc>
          <w:tcPr>
            <w:tcW w:w="20" w:type="dxa"/>
            <w:vAlign w:val="bottom"/>
            <w:tcBorders>
              <w:top w:val="single" w:sz="8" w:color="CFF0FC"/>
            </w:tcBorders>
            <w:shd w:val="clear" w:color="auto" w:fill="CFF0FC"/>
          </w:tcPr>
          <w:p>
            <w:pPr>
              <w:spacing w:after="0"/>
              <w:rPr>
                <w:sz w:val="21"/>
                <w:szCs w:val="21"/>
                <w:color w:val="auto"/>
              </w:rPr>
            </w:pPr>
          </w:p>
        </w:tc>
        <w:tc>
          <w:tcPr>
            <w:tcW w:w="120" w:type="dxa"/>
            <w:vAlign w:val="bottom"/>
            <w:tcBorders>
              <w:top w:val="single" w:sz="8" w:color="CFF0FC"/>
            </w:tcBorders>
            <w:shd w:val="clear" w:color="auto" w:fill="CFF0FC"/>
          </w:tcPr>
          <w:p>
            <w:pPr>
              <w:spacing w:after="0"/>
              <w:rPr>
                <w:sz w:val="21"/>
                <w:szCs w:val="21"/>
                <w:color w:val="auto"/>
              </w:rPr>
            </w:pPr>
          </w:p>
        </w:tc>
        <w:tc>
          <w:tcPr>
            <w:tcW w:w="660" w:type="dxa"/>
            <w:vAlign w:val="bottom"/>
            <w:tcBorders>
              <w:top w:val="single" w:sz="8" w:color="CFF0FC"/>
              <w:right w:val="single" w:sz="8" w:color="CFF0FC"/>
            </w:tcBorders>
            <w:shd w:val="clear" w:color="auto" w:fill="CFF0FC"/>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10.17†</w:t>
            </w:r>
          </w:p>
        </w:tc>
        <w:tc>
          <w:tcPr>
            <w:tcW w:w="140" w:type="dxa"/>
            <w:vAlign w:val="bottom"/>
          </w:tcPr>
          <w:p>
            <w:pPr>
              <w:spacing w:after="0"/>
              <w:rPr>
                <w:sz w:val="16"/>
                <w:szCs w:val="16"/>
                <w:color w:val="auto"/>
              </w:rPr>
            </w:pPr>
          </w:p>
        </w:tc>
        <w:tc>
          <w:tcPr>
            <w:tcW w:w="6680" w:type="dxa"/>
            <w:vAlign w:val="bottom"/>
            <w:tcBorders>
              <w:bottom w:val="single" w:sz="8" w:color="0000FF"/>
            </w:tcBorders>
            <w:gridSpan w:val="28"/>
          </w:tcPr>
          <w:p>
            <w:pPr>
              <w:spacing w:after="0" w:line="189" w:lineRule="exact"/>
              <w:rPr>
                <w:rFonts w:ascii="Times New Roman" w:cs="Times New Roman" w:eastAsia="Times New Roman" w:hAnsi="Times New Roman"/>
                <w:sz w:val="18"/>
                <w:szCs w:val="18"/>
                <w:color w:val="0000FF"/>
                <w:w w:val="99"/>
              </w:rPr>
            </w:pPr>
            <w:hyperlink r:id="rId739">
              <w:r>
                <w:rPr>
                  <w:rFonts w:ascii="Times New Roman" w:cs="Times New Roman" w:eastAsia="Times New Roman" w:hAnsi="Times New Roman"/>
                  <w:sz w:val="18"/>
                  <w:szCs w:val="18"/>
                  <w:color w:val="0000FF"/>
                  <w:w w:val="99"/>
                </w:rPr>
                <w:t>Willis Towers Watson Public Limited Company Compensation Policy and Share Ownership</w:t>
              </w:r>
            </w:hyperlink>
          </w:p>
        </w:tc>
        <w:tc>
          <w:tcPr>
            <w:tcW w:w="180" w:type="dxa"/>
            <w:vAlign w:val="bottom"/>
            <w:gridSpan w:val="4"/>
          </w:tcPr>
          <w:p>
            <w:pPr>
              <w:spacing w:after="0"/>
              <w:rPr>
                <w:sz w:val="16"/>
                <w:szCs w:val="16"/>
                <w:color w:val="auto"/>
              </w:rPr>
            </w:pPr>
          </w:p>
        </w:tc>
        <w:tc>
          <w:tcPr>
            <w:tcW w:w="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10-Q</w:t>
            </w:r>
          </w:p>
        </w:tc>
        <w:tc>
          <w:tcPr>
            <w:tcW w:w="580" w:type="dxa"/>
            <w:vAlign w:val="bottom"/>
            <w:gridSpan w:val="2"/>
          </w:tcPr>
          <w:p>
            <w:pPr>
              <w:jc w:val="center"/>
              <w:ind w:left="5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220" w:type="dxa"/>
            <w:vAlign w:val="bottom"/>
            <w:gridSpan w:val="3"/>
          </w:tcPr>
          <w:p>
            <w:pPr>
              <w:ind w:left="140"/>
              <w:spacing w:after="0" w:line="189" w:lineRule="exact"/>
              <w:rPr>
                <w:sz w:val="20"/>
                <w:szCs w:val="20"/>
                <w:color w:val="auto"/>
              </w:rPr>
            </w:pPr>
            <w:r>
              <w:rPr>
                <w:rFonts w:ascii="Times New Roman" w:cs="Times New Roman" w:eastAsia="Times New Roman" w:hAnsi="Times New Roman"/>
                <w:sz w:val="18"/>
                <w:szCs w:val="18"/>
                <w:color w:val="auto"/>
              </w:rPr>
              <w:t>July 28, 2022</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60" w:type="dxa"/>
            <w:vAlign w:val="bottom"/>
            <w:gridSpan w:val="32"/>
          </w:tcPr>
          <w:p>
            <w:pPr>
              <w:spacing w:after="0" w:line="195" w:lineRule="exact"/>
              <w:rPr>
                <w:rFonts w:ascii="Times New Roman" w:cs="Times New Roman" w:eastAsia="Times New Roman" w:hAnsi="Times New Roman"/>
                <w:sz w:val="18"/>
                <w:szCs w:val="18"/>
                <w:color w:val="0000FF"/>
              </w:rPr>
            </w:pPr>
            <w:hyperlink r:id="rId739">
              <w:r>
                <w:rPr>
                  <w:rFonts w:ascii="Times New Roman" w:cs="Times New Roman" w:eastAsia="Times New Roman" w:hAnsi="Times New Roman"/>
                  <w:sz w:val="18"/>
                  <w:szCs w:val="18"/>
                  <w:color w:val="0000FF"/>
                </w:rPr>
                <w:t>Guidelines for Non-Employee Directors (as amended May 2022)</w:t>
              </w:r>
            </w:hyperlink>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3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Borders>
              <w:right w:val="single" w:sz="8" w:color="CFF0FC"/>
            </w:tcBorders>
          </w:tcPr>
          <w:p>
            <w:pPr>
              <w:spacing w:after="0"/>
              <w:rPr>
                <w:sz w:val="16"/>
                <w:szCs w:val="16"/>
                <w:color w:val="auto"/>
              </w:rPr>
            </w:pPr>
          </w:p>
        </w:tc>
        <w:tc>
          <w:tcPr>
            <w:tcW w:w="6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10.18†</w:t>
            </w:r>
          </w:p>
        </w:tc>
        <w:tc>
          <w:tcPr>
            <w:tcW w:w="140" w:type="dxa"/>
            <w:vAlign w:val="bottom"/>
            <w:tcBorders>
              <w:bottom w:val="single" w:sz="8" w:color="CFF0FC"/>
            </w:tcBorders>
            <w:shd w:val="clear" w:color="auto" w:fill="CFF0FC"/>
          </w:tcPr>
          <w:p>
            <w:pPr>
              <w:spacing w:after="0"/>
              <w:rPr>
                <w:sz w:val="16"/>
                <w:szCs w:val="16"/>
                <w:color w:val="auto"/>
              </w:rPr>
            </w:pPr>
          </w:p>
        </w:tc>
        <w:tc>
          <w:tcPr>
            <w:tcW w:w="6520" w:type="dxa"/>
            <w:vAlign w:val="bottom"/>
            <w:tcBorders>
              <w:bottom w:val="single" w:sz="8" w:color="0000FF"/>
            </w:tcBorders>
            <w:gridSpan w:val="23"/>
            <w:shd w:val="clear" w:color="auto" w:fill="CFF0FC"/>
          </w:tcPr>
          <w:p>
            <w:pPr>
              <w:spacing w:after="0" w:line="189" w:lineRule="exact"/>
              <w:rPr>
                <w:rFonts w:ascii="Times New Roman" w:cs="Times New Roman" w:eastAsia="Times New Roman" w:hAnsi="Times New Roman"/>
                <w:sz w:val="18"/>
                <w:szCs w:val="18"/>
                <w:color w:val="0000FF"/>
                <w:w w:val="99"/>
              </w:rPr>
            </w:pPr>
            <w:hyperlink r:id="rId740">
              <w:r>
                <w:rPr>
                  <w:rFonts w:ascii="Times New Roman" w:cs="Times New Roman" w:eastAsia="Times New Roman" w:hAnsi="Times New Roman"/>
                  <w:sz w:val="18"/>
                  <w:szCs w:val="18"/>
                  <w:color w:val="0000FF"/>
                  <w:w w:val="99"/>
                </w:rPr>
                <w:t>Offer Letter, dated as of August 26, 2021, by and between Willis Towers Watson US LLC</w:t>
              </w:r>
            </w:hyperlink>
          </w:p>
        </w:tc>
        <w:tc>
          <w:tcPr>
            <w:tcW w:w="340" w:type="dxa"/>
            <w:vAlign w:val="bottom"/>
            <w:tcBorders>
              <w:bottom w:val="single" w:sz="8" w:color="CFF0FC"/>
            </w:tcBorders>
            <w:gridSpan w:val="9"/>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10-Q</w:t>
            </w:r>
          </w:p>
        </w:tc>
        <w:tc>
          <w:tcPr>
            <w:tcW w:w="580" w:type="dxa"/>
            <w:vAlign w:val="bottom"/>
            <w:tcBorders>
              <w:bottom w:val="single" w:sz="8" w:color="CFF0FC"/>
            </w:tcBorders>
            <w:gridSpan w:val="2"/>
            <w:shd w:val="clear" w:color="auto" w:fill="CFF0FC"/>
          </w:tcPr>
          <w:p>
            <w:pPr>
              <w:jc w:val="center"/>
              <w:ind w:left="50"/>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1220" w:type="dxa"/>
            <w:vAlign w:val="bottom"/>
            <w:tcBorders>
              <w:bottom w:val="single" w:sz="8" w:color="CFF0FC"/>
            </w:tcBorders>
            <w:gridSpan w:val="3"/>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October 28,</w:t>
            </w:r>
          </w:p>
        </w:tc>
        <w:tc>
          <w:tcPr>
            <w:tcW w:w="12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right w:val="single" w:sz="8" w:color="CFF0FC"/>
            </w:tcBorders>
            <w:shd w:val="clear" w:color="auto" w:fill="CFF0FC"/>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60" w:type="dxa"/>
            <w:vAlign w:val="bottom"/>
            <w:gridSpan w:val="32"/>
            <w:shd w:val="clear" w:color="auto" w:fill="CFF0FC"/>
          </w:tcPr>
          <w:p>
            <w:pPr>
              <w:spacing w:after="0" w:line="195" w:lineRule="exact"/>
              <w:rPr>
                <w:rFonts w:ascii="Times New Roman" w:cs="Times New Roman" w:eastAsia="Times New Roman" w:hAnsi="Times New Roman"/>
                <w:sz w:val="18"/>
                <w:szCs w:val="18"/>
                <w:color w:val="0000FF"/>
              </w:rPr>
            </w:pPr>
            <w:hyperlink r:id="rId740">
              <w:r>
                <w:rPr>
                  <w:rFonts w:ascii="Times New Roman" w:cs="Times New Roman" w:eastAsia="Times New Roman" w:hAnsi="Times New Roman"/>
                  <w:sz w:val="18"/>
                  <w:szCs w:val="18"/>
                  <w:color w:val="0000FF"/>
                </w:rPr>
                <w:t>and Andrew Krasner</w:t>
              </w:r>
            </w:hyperlink>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ind w:left="140"/>
              <w:spacing w:after="0" w:line="195" w:lineRule="exact"/>
              <w:rPr>
                <w:sz w:val="20"/>
                <w:szCs w:val="20"/>
                <w:color w:val="auto"/>
              </w:rPr>
            </w:pPr>
            <w:r>
              <w:rPr>
                <w:rFonts w:ascii="Times New Roman" w:cs="Times New Roman" w:eastAsia="Times New Roman" w:hAnsi="Times New Roman"/>
                <w:sz w:val="18"/>
                <w:szCs w:val="18"/>
                <w:color w:val="auto"/>
              </w:rPr>
              <w:t>2021</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tcBorders>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Borders>
              <w:right w:val="single" w:sz="8" w:color="CFF0FC"/>
            </w:tcBorders>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0000FF"/>
            </w:tcBorders>
            <w:shd w:val="clear" w:color="auto" w:fill="CFF0FC"/>
          </w:tcPr>
          <w:p>
            <w:pPr>
              <w:spacing w:after="0"/>
              <w:rPr>
                <w:sz w:val="2"/>
                <w:szCs w:val="2"/>
                <w:color w:val="auto"/>
              </w:rPr>
            </w:pPr>
          </w:p>
        </w:tc>
        <w:tc>
          <w:tcPr>
            <w:tcW w:w="720" w:type="dxa"/>
            <w:vAlign w:val="bottom"/>
            <w:tcBorders>
              <w:top w:val="single" w:sz="8" w:color="0000FF"/>
            </w:tcBorders>
            <w:shd w:val="clear" w:color="auto" w:fill="CFF0FC"/>
          </w:tcPr>
          <w:p>
            <w:pPr>
              <w:spacing w:after="0"/>
              <w:rPr>
                <w:sz w:val="2"/>
                <w:szCs w:val="2"/>
                <w:color w:val="auto"/>
              </w:rPr>
            </w:pPr>
          </w:p>
        </w:tc>
        <w:tc>
          <w:tcPr>
            <w:tcW w:w="460" w:type="dxa"/>
            <w:vAlign w:val="bottom"/>
            <w:tcBorders>
              <w:top w:val="single" w:sz="8" w:color="0000FF"/>
            </w:tcBorders>
            <w:shd w:val="clear" w:color="auto" w:fill="CFF0FC"/>
          </w:tcPr>
          <w:p>
            <w:pPr>
              <w:spacing w:after="0"/>
              <w:rPr>
                <w:sz w:val="2"/>
                <w:szCs w:val="2"/>
                <w:color w:val="auto"/>
              </w:rPr>
            </w:pPr>
          </w:p>
        </w:tc>
        <w:tc>
          <w:tcPr>
            <w:tcW w:w="38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38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72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30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6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0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660" w:type="dxa"/>
            <w:vAlign w:val="bottom"/>
            <w:tcBorders>
              <w:top w:val="single" w:sz="8" w:color="CFF0FC"/>
              <w:right w:val="single" w:sz="8" w:color="CFF0FC"/>
            </w:tcBorders>
            <w:shd w:val="clear" w:color="auto" w:fill="CFF0FC"/>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10.19†</w:t>
            </w:r>
          </w:p>
        </w:tc>
        <w:tc>
          <w:tcPr>
            <w:tcW w:w="140" w:type="dxa"/>
            <w:vAlign w:val="bottom"/>
          </w:tcPr>
          <w:p>
            <w:pPr>
              <w:spacing w:after="0"/>
              <w:rPr>
                <w:sz w:val="16"/>
                <w:szCs w:val="16"/>
                <w:color w:val="auto"/>
              </w:rPr>
            </w:pPr>
          </w:p>
        </w:tc>
        <w:tc>
          <w:tcPr>
            <w:tcW w:w="6720" w:type="dxa"/>
            <w:vAlign w:val="bottom"/>
            <w:tcBorders>
              <w:bottom w:val="single" w:sz="8" w:color="0000FF"/>
            </w:tcBorders>
            <w:gridSpan w:val="30"/>
          </w:tcPr>
          <w:p>
            <w:pPr>
              <w:spacing w:after="0" w:line="189" w:lineRule="exact"/>
              <w:rPr>
                <w:rFonts w:ascii="Times New Roman" w:cs="Times New Roman" w:eastAsia="Times New Roman" w:hAnsi="Times New Roman"/>
                <w:sz w:val="18"/>
                <w:szCs w:val="18"/>
                <w:color w:val="0000FF"/>
              </w:rPr>
            </w:pPr>
            <w:hyperlink r:id="rId741">
              <w:r>
                <w:rPr>
                  <w:rFonts w:ascii="Times New Roman" w:cs="Times New Roman" w:eastAsia="Times New Roman" w:hAnsi="Times New Roman"/>
                  <w:sz w:val="18"/>
                  <w:szCs w:val="18"/>
                  <w:color w:val="0000FF"/>
                </w:rPr>
                <w:t>Time-Based Restricted Share Unit Award Agreement, dated as of September 7, 2021, by and</w:t>
              </w:r>
            </w:hyperlink>
          </w:p>
        </w:tc>
        <w:tc>
          <w:tcPr>
            <w:tcW w:w="140" w:type="dxa"/>
            <w:vAlign w:val="bottom"/>
            <w:gridSpan w:val="2"/>
          </w:tcPr>
          <w:p>
            <w:pPr>
              <w:spacing w:after="0"/>
              <w:rPr>
                <w:sz w:val="16"/>
                <w:szCs w:val="16"/>
                <w:color w:val="auto"/>
              </w:rPr>
            </w:pPr>
          </w:p>
        </w:tc>
        <w:tc>
          <w:tcPr>
            <w:tcW w:w="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10-Q</w:t>
            </w:r>
          </w:p>
        </w:tc>
        <w:tc>
          <w:tcPr>
            <w:tcW w:w="580" w:type="dxa"/>
            <w:vAlign w:val="bottom"/>
            <w:gridSpan w:val="2"/>
          </w:tcPr>
          <w:p>
            <w:pPr>
              <w:jc w:val="center"/>
              <w:ind w:left="50"/>
              <w:spacing w:after="0" w:line="189" w:lineRule="exact"/>
              <w:rPr>
                <w:sz w:val="20"/>
                <w:szCs w:val="20"/>
                <w:color w:val="auto"/>
              </w:rPr>
            </w:pPr>
            <w:r>
              <w:rPr>
                <w:rFonts w:ascii="Times New Roman" w:cs="Times New Roman" w:eastAsia="Times New Roman" w:hAnsi="Times New Roman"/>
                <w:sz w:val="18"/>
                <w:szCs w:val="18"/>
                <w:color w:val="auto"/>
              </w:rPr>
              <w:t>10.5</w:t>
            </w:r>
          </w:p>
        </w:tc>
        <w:tc>
          <w:tcPr>
            <w:tcW w:w="1220" w:type="dxa"/>
            <w:vAlign w:val="bottom"/>
            <w:gridSpan w:val="3"/>
          </w:tcPr>
          <w:p>
            <w:pPr>
              <w:ind w:left="140"/>
              <w:spacing w:after="0" w:line="189" w:lineRule="exact"/>
              <w:rPr>
                <w:sz w:val="20"/>
                <w:szCs w:val="20"/>
                <w:color w:val="auto"/>
              </w:rPr>
            </w:pPr>
            <w:r>
              <w:rPr>
                <w:rFonts w:ascii="Times New Roman" w:cs="Times New Roman" w:eastAsia="Times New Roman" w:hAnsi="Times New Roman"/>
                <w:sz w:val="18"/>
                <w:szCs w:val="18"/>
                <w:color w:val="auto"/>
              </w:rPr>
              <w:t>October 28,</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40" w:type="dxa"/>
            <w:vAlign w:val="bottom"/>
            <w:tcBorders>
              <w:bottom w:val="single" w:sz="8" w:color="0000FF"/>
            </w:tcBorders>
            <w:gridSpan w:val="15"/>
          </w:tcPr>
          <w:p>
            <w:pPr>
              <w:spacing w:after="0" w:line="195" w:lineRule="exact"/>
              <w:rPr>
                <w:rFonts w:ascii="Times New Roman" w:cs="Times New Roman" w:eastAsia="Times New Roman" w:hAnsi="Times New Roman"/>
                <w:sz w:val="18"/>
                <w:szCs w:val="18"/>
                <w:color w:val="0000FF"/>
                <w:w w:val="99"/>
              </w:rPr>
            </w:pPr>
            <w:hyperlink r:id="rId741">
              <w:r>
                <w:rPr>
                  <w:rFonts w:ascii="Times New Roman" w:cs="Times New Roman" w:eastAsia="Times New Roman" w:hAnsi="Times New Roman"/>
                  <w:sz w:val="18"/>
                  <w:szCs w:val="18"/>
                  <w:color w:val="0000FF"/>
                  <w:w w:val="99"/>
                </w:rPr>
                <w:t>between Willis Towers Watson Public Limited Company and Andrew Krasner</w:t>
              </w:r>
            </w:hyperlink>
          </w:p>
        </w:tc>
        <w:tc>
          <w:tcPr>
            <w:tcW w:w="1220" w:type="dxa"/>
            <w:vAlign w:val="bottom"/>
            <w:gridSpan w:val="17"/>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gridSpan w:val="2"/>
          </w:tcPr>
          <w:p>
            <w:pPr>
              <w:ind w:left="140"/>
              <w:spacing w:after="0" w:line="195" w:lineRule="exact"/>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1"/>
        </w:trPr>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80" w:type="dxa"/>
            <w:vAlign w:val="bottom"/>
            <w:gridSpan w:val="12"/>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4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02" w:right="3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188"/>
        </w:trPr>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6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60" w:type="dxa"/>
            <w:vAlign w:val="bottom"/>
          </w:tcPr>
          <w:p>
            <w:pPr>
              <w:spacing w:after="0"/>
              <w:rPr>
                <w:sz w:val="5"/>
                <w:szCs w:val="5"/>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2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60" w:type="dxa"/>
            <w:vAlign w:val="bottom"/>
            <w:gridSpan w:val="21"/>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20" w:type="dxa"/>
            <w:vAlign w:val="bottom"/>
          </w:tcPr>
          <w:p>
            <w:pPr>
              <w:spacing w:after="0"/>
              <w:rPr>
                <w:sz w:val="11"/>
                <w:szCs w:val="11"/>
                <w:color w:val="auto"/>
              </w:rPr>
            </w:pPr>
          </w:p>
        </w:tc>
        <w:tc>
          <w:tcPr>
            <w:tcW w:w="5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Schedul</w:t>
            </w:r>
          </w:p>
        </w:tc>
        <w:tc>
          <w:tcPr>
            <w:tcW w:w="140" w:type="dxa"/>
            <w:vAlign w:val="bottom"/>
          </w:tcPr>
          <w:p>
            <w:pPr>
              <w:spacing w:after="0"/>
              <w:rPr>
                <w:sz w:val="11"/>
                <w:szCs w:val="11"/>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w:t>
            </w:r>
          </w:p>
        </w:tc>
        <w:tc>
          <w:tcPr>
            <w:tcW w:w="120" w:type="dxa"/>
            <w:vAlign w:val="bottom"/>
          </w:tcPr>
          <w:p>
            <w:pPr>
              <w:spacing w:after="0"/>
              <w:rPr>
                <w:sz w:val="11"/>
                <w:szCs w:val="11"/>
                <w:color w:val="auto"/>
              </w:rPr>
            </w:pPr>
          </w:p>
        </w:tc>
        <w:tc>
          <w:tcPr>
            <w:tcW w:w="11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6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60" w:type="dxa"/>
            <w:vAlign w:val="bottom"/>
            <w:gridSpan w:val="21"/>
            <w:vMerge w:val="continue"/>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w:t>
            </w:r>
          </w:p>
        </w:tc>
        <w:tc>
          <w:tcPr>
            <w:tcW w:w="14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Herewith</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 w:type="dxa"/>
            <w:vAlign w:val="bottom"/>
            <w:vMerge w:val="restart"/>
          </w:tcPr>
          <w:p>
            <w:pPr>
              <w:spacing w:after="0"/>
              <w:rPr>
                <w:sz w:val="2"/>
                <w:szCs w:val="2"/>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t</w:t>
            </w: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60" w:type="dxa"/>
            <w:vAlign w:val="bottom"/>
            <w:tcBorders>
              <w:right w:val="single" w:sz="8" w:color="CFF0FC"/>
            </w:tcBorders>
          </w:tcPr>
          <w:p>
            <w:pPr>
              <w:spacing w:after="0"/>
              <w:rPr>
                <w:sz w:val="16"/>
                <w:szCs w:val="16"/>
                <w:color w:val="auto"/>
              </w:rPr>
            </w:pPr>
          </w:p>
        </w:tc>
        <w:tc>
          <w:tcPr>
            <w:tcW w:w="7620" w:type="dxa"/>
            <w:vAlign w:val="bottom"/>
            <w:gridSpan w:val="30"/>
            <w:shd w:val="clear" w:color="auto" w:fill="CFF0FC"/>
          </w:tcPr>
          <w:p>
            <w:pPr>
              <w:ind w:left="6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10.20†   </w:t>
            </w:r>
            <w:hyperlink r:id="rId744">
              <w:r>
                <w:rPr>
                  <w:rFonts w:ascii="Times New Roman" w:cs="Times New Roman" w:eastAsia="Times New Roman" w:hAnsi="Times New Roman"/>
                  <w:sz w:val="18"/>
                  <w:szCs w:val="18"/>
                  <w:color w:val="0000FF"/>
                </w:rPr>
                <w:t>Employment Agreement, dated as of February 25, 2015, by and between Willis Group</w:t>
              </w:r>
            </w:hyperlink>
          </w:p>
        </w:tc>
        <w:tc>
          <w:tcPr>
            <w:tcW w:w="20" w:type="dxa"/>
            <w:vAlign w:val="bottom"/>
            <w:shd w:val="clear" w:color="auto" w:fill="CFF0FC"/>
          </w:tcPr>
          <w:p>
            <w:pPr>
              <w:spacing w:after="0"/>
              <w:rPr>
                <w:sz w:val="16"/>
                <w:szCs w:val="16"/>
                <w:color w:val="auto"/>
              </w:rPr>
            </w:pPr>
          </w:p>
        </w:tc>
        <w:tc>
          <w:tcPr>
            <w:tcW w:w="52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10-K</w:t>
            </w:r>
          </w:p>
        </w:tc>
        <w:tc>
          <w:tcPr>
            <w:tcW w:w="560" w:type="dxa"/>
            <w:vAlign w:val="bottom"/>
            <w:gridSpan w:val="2"/>
            <w:shd w:val="clear" w:color="auto" w:fill="CFF0FC"/>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8"/>
              </w:rPr>
              <w:t>10.45</w:t>
            </w:r>
          </w:p>
        </w:tc>
        <w:tc>
          <w:tcPr>
            <w:tcW w:w="1280" w:type="dxa"/>
            <w:vAlign w:val="bottom"/>
            <w:gridSpan w:val="3"/>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February 24,</w:t>
            </w:r>
          </w:p>
        </w:tc>
        <w:tc>
          <w:tcPr>
            <w:tcW w:w="120" w:type="dxa"/>
            <w:vAlign w:val="bottom"/>
            <w:shd w:val="clear" w:color="auto" w:fill="CFF0FC"/>
          </w:tcPr>
          <w:p>
            <w:pPr>
              <w:spacing w:after="0"/>
              <w:rPr>
                <w:sz w:val="16"/>
                <w:szCs w:val="16"/>
                <w:color w:val="auto"/>
              </w:rPr>
            </w:pPr>
          </w:p>
        </w:tc>
        <w:tc>
          <w:tcPr>
            <w:tcW w:w="640" w:type="dxa"/>
            <w:vAlign w:val="bottom"/>
            <w:tcBorders>
              <w:right w:val="single" w:sz="8" w:color="CFF0FC"/>
            </w:tcBorders>
            <w:shd w:val="clear" w:color="auto" w:fill="CFF0FC"/>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0" w:type="dxa"/>
            <w:vAlign w:val="bottom"/>
            <w:tcBorders>
              <w:right w:val="single" w:sz="8" w:color="CFF0FC"/>
            </w:tcBorders>
          </w:tcPr>
          <w:p>
            <w:pPr>
              <w:spacing w:after="0"/>
              <w:rPr>
                <w:sz w:val="19"/>
                <w:szCs w:val="19"/>
                <w:color w:val="auto"/>
              </w:rPr>
            </w:pP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4120" w:type="dxa"/>
            <w:vAlign w:val="bottom"/>
            <w:tcBorders>
              <w:top w:val="single" w:sz="8" w:color="0000FF"/>
              <w:bottom w:val="single" w:sz="8" w:color="0000FF"/>
            </w:tcBorders>
            <w:gridSpan w:val="9"/>
            <w:shd w:val="clear" w:color="auto" w:fill="CFF0FC"/>
          </w:tcPr>
          <w:p>
            <w:pPr>
              <w:spacing w:after="0" w:line="195" w:lineRule="exact"/>
              <w:rPr>
                <w:rFonts w:ascii="Times New Roman" w:cs="Times New Roman" w:eastAsia="Times New Roman" w:hAnsi="Times New Roman"/>
                <w:sz w:val="18"/>
                <w:szCs w:val="18"/>
                <w:color w:val="0000FF"/>
                <w:w w:val="99"/>
              </w:rPr>
            </w:pPr>
            <w:hyperlink r:id="rId744">
              <w:r>
                <w:rPr>
                  <w:rFonts w:ascii="Times New Roman" w:cs="Times New Roman" w:eastAsia="Times New Roman" w:hAnsi="Times New Roman"/>
                  <w:sz w:val="18"/>
                  <w:szCs w:val="18"/>
                  <w:color w:val="0000FF"/>
                  <w:w w:val="99"/>
                </w:rPr>
                <w:t>Holdings Public Limited Company and Matthew Furman</w:t>
              </w:r>
            </w:hyperlink>
          </w:p>
        </w:tc>
        <w:tc>
          <w:tcPr>
            <w:tcW w:w="2140" w:type="dxa"/>
            <w:vAlign w:val="bottom"/>
            <w:tcBorders>
              <w:top w:val="single" w:sz="8" w:color="0000FF"/>
              <w:bottom w:val="single" w:sz="8" w:color="CFF0FC"/>
            </w:tcBorders>
            <w:gridSpan w:val="8"/>
            <w:shd w:val="clear" w:color="auto" w:fill="CFF0FC"/>
          </w:tcPr>
          <w:p>
            <w:pPr>
              <w:spacing w:after="0"/>
              <w:rPr>
                <w:sz w:val="19"/>
                <w:szCs w:val="19"/>
                <w:color w:val="auto"/>
              </w:rPr>
            </w:pPr>
          </w:p>
        </w:tc>
        <w:tc>
          <w:tcPr>
            <w:tcW w:w="580" w:type="dxa"/>
            <w:vAlign w:val="bottom"/>
            <w:tcBorders>
              <w:top w:val="single" w:sz="8" w:color="CFF0FC"/>
              <w:bottom w:val="single" w:sz="8" w:color="CFF0FC"/>
            </w:tcBorders>
            <w:gridSpan w:val="11"/>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1260" w:type="dxa"/>
            <w:vAlign w:val="bottom"/>
            <w:tcBorders>
              <w:top w:val="single" w:sz="8" w:color="CFF0FC"/>
              <w:bottom w:val="single" w:sz="8" w:color="CFF0FC"/>
            </w:tcBorders>
            <w:gridSpan w:val="2"/>
            <w:shd w:val="clear" w:color="auto" w:fill="CFF0FC"/>
          </w:tcPr>
          <w:p>
            <w:pPr>
              <w:ind w:left="120"/>
              <w:spacing w:after="0" w:line="195" w:lineRule="exact"/>
              <w:rPr>
                <w:sz w:val="20"/>
                <w:szCs w:val="20"/>
                <w:color w:val="auto"/>
              </w:rPr>
            </w:pPr>
            <w:r>
              <w:rPr>
                <w:rFonts w:ascii="Times New Roman" w:cs="Times New Roman" w:eastAsia="Times New Roman" w:hAnsi="Times New Roman"/>
                <w:sz w:val="18"/>
                <w:szCs w:val="18"/>
                <w:color w:val="auto"/>
              </w:rPr>
              <w:t>2022</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7620" w:type="dxa"/>
            <w:vAlign w:val="bottom"/>
            <w:gridSpan w:val="30"/>
          </w:tcPr>
          <w:p>
            <w:pPr>
              <w:ind w:left="60"/>
              <w:spacing w:after="0" w:line="189" w:lineRule="exact"/>
              <w:rPr>
                <w:sz w:val="20"/>
                <w:szCs w:val="20"/>
                <w:color w:val="auto"/>
              </w:rPr>
            </w:pPr>
            <w:r>
              <w:rPr>
                <w:rFonts w:ascii="Times New Roman" w:cs="Times New Roman" w:eastAsia="Times New Roman" w:hAnsi="Times New Roman"/>
                <w:sz w:val="18"/>
                <w:szCs w:val="18"/>
                <w:color w:val="auto"/>
              </w:rPr>
              <w:t xml:space="preserve">10.21†   </w:t>
            </w:r>
            <w:r>
              <w:rPr>
                <w:rFonts w:ascii="Times New Roman" w:cs="Times New Roman" w:eastAsia="Times New Roman" w:hAnsi="Times New Roman"/>
                <w:sz w:val="18"/>
                <w:szCs w:val="18"/>
                <w:color w:val="0000FF"/>
              </w:rPr>
              <w:t>Contract of Employment, dated May 11, 2009, by and between Willis Limited and Adam</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X</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60" w:type="dxa"/>
            <w:vAlign w:val="bottom"/>
            <w:tcBorders>
              <w:top w:val="single" w:sz="8" w:color="0000FF"/>
            </w:tcBorders>
            <w:gridSpan w:val="19"/>
          </w:tcPr>
          <w:p>
            <w:pPr>
              <w:spacing w:after="0" w:line="195" w:lineRule="exact"/>
              <w:rPr>
                <w:sz w:val="20"/>
                <w:szCs w:val="20"/>
                <w:color w:val="auto"/>
              </w:rPr>
            </w:pPr>
            <w:r>
              <w:rPr>
                <w:rFonts w:ascii="Times New Roman" w:cs="Times New Roman" w:eastAsia="Times New Roman" w:hAnsi="Times New Roman"/>
                <w:sz w:val="18"/>
                <w:szCs w:val="18"/>
                <w:color w:val="0000FF"/>
              </w:rPr>
              <w:t>Garrard</w:t>
            </w:r>
          </w:p>
        </w:tc>
        <w:tc>
          <w:tcPr>
            <w:tcW w:w="38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Borders>
              <w:right w:val="single" w:sz="8" w:color="CFF0FC"/>
            </w:tcBorders>
          </w:tcPr>
          <w:p>
            <w:pPr>
              <w:spacing w:after="0"/>
              <w:rPr>
                <w:sz w:val="16"/>
                <w:szCs w:val="16"/>
                <w:color w:val="auto"/>
              </w:rPr>
            </w:pPr>
          </w:p>
        </w:tc>
        <w:tc>
          <w:tcPr>
            <w:tcW w:w="7620" w:type="dxa"/>
            <w:vAlign w:val="bottom"/>
            <w:gridSpan w:val="30"/>
            <w:shd w:val="clear" w:color="auto" w:fill="CFF0FC"/>
          </w:tcPr>
          <w:p>
            <w:pPr>
              <w:ind w:left="6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10.22†   </w:t>
            </w:r>
            <w:hyperlink r:id="rId745">
              <w:r>
                <w:rPr>
                  <w:rFonts w:ascii="Times New Roman" w:cs="Times New Roman" w:eastAsia="Times New Roman" w:hAnsi="Times New Roman"/>
                  <w:sz w:val="18"/>
                  <w:szCs w:val="18"/>
                  <w:color w:val="0000FF"/>
                </w:rPr>
                <w:t>Form of Retention Agreement</w:t>
              </w:r>
            </w:hyperlink>
          </w:p>
        </w:tc>
        <w:tc>
          <w:tcPr>
            <w:tcW w:w="20" w:type="dxa"/>
            <w:vAlign w:val="bottom"/>
            <w:shd w:val="clear" w:color="auto" w:fill="CFF0FC"/>
          </w:tcPr>
          <w:p>
            <w:pPr>
              <w:spacing w:after="0"/>
              <w:rPr>
                <w:sz w:val="16"/>
                <w:szCs w:val="16"/>
                <w:color w:val="auto"/>
              </w:rPr>
            </w:pPr>
          </w:p>
        </w:tc>
        <w:tc>
          <w:tcPr>
            <w:tcW w:w="52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60" w:type="dxa"/>
            <w:vAlign w:val="bottom"/>
            <w:gridSpan w:val="2"/>
            <w:shd w:val="clear" w:color="auto" w:fill="CFF0FC"/>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280" w:type="dxa"/>
            <w:vAlign w:val="bottom"/>
            <w:gridSpan w:val="3"/>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February 5,</w:t>
            </w:r>
          </w:p>
        </w:tc>
        <w:tc>
          <w:tcPr>
            <w:tcW w:w="120" w:type="dxa"/>
            <w:vAlign w:val="bottom"/>
            <w:shd w:val="clear" w:color="auto" w:fill="CFF0FC"/>
          </w:tcPr>
          <w:p>
            <w:pPr>
              <w:spacing w:after="0"/>
              <w:rPr>
                <w:sz w:val="16"/>
                <w:szCs w:val="16"/>
                <w:color w:val="auto"/>
              </w:rPr>
            </w:pPr>
          </w:p>
        </w:tc>
        <w:tc>
          <w:tcPr>
            <w:tcW w:w="640" w:type="dxa"/>
            <w:vAlign w:val="bottom"/>
            <w:tcBorders>
              <w:right w:val="single" w:sz="8" w:color="CFF0FC"/>
            </w:tcBorders>
            <w:shd w:val="clear" w:color="auto" w:fill="CFF0FC"/>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0" w:type="dxa"/>
            <w:vAlign w:val="bottom"/>
            <w:tcBorders>
              <w:right w:val="single" w:sz="8" w:color="CFF0FC"/>
            </w:tcBorders>
          </w:tcPr>
          <w:p>
            <w:pPr>
              <w:spacing w:after="0"/>
              <w:rPr>
                <w:sz w:val="21"/>
                <w:szCs w:val="21"/>
                <w:color w:val="auto"/>
              </w:rPr>
            </w:pPr>
          </w:p>
        </w:tc>
        <w:tc>
          <w:tcPr>
            <w:tcW w:w="640" w:type="dxa"/>
            <w:vAlign w:val="bottom"/>
            <w:tcBorders>
              <w:top w:val="single" w:sz="8" w:color="CFF0FC"/>
            </w:tcBorders>
            <w:shd w:val="clear" w:color="auto" w:fill="CFF0FC"/>
          </w:tcPr>
          <w:p>
            <w:pPr>
              <w:spacing w:after="0"/>
              <w:rPr>
                <w:sz w:val="21"/>
                <w:szCs w:val="21"/>
                <w:color w:val="auto"/>
              </w:rPr>
            </w:pPr>
          </w:p>
        </w:tc>
        <w:tc>
          <w:tcPr>
            <w:tcW w:w="140" w:type="dxa"/>
            <w:vAlign w:val="bottom"/>
            <w:tcBorders>
              <w:top w:val="single" w:sz="8" w:color="CFF0FC"/>
            </w:tcBorders>
            <w:shd w:val="clear" w:color="auto" w:fill="CFF0FC"/>
          </w:tcPr>
          <w:p>
            <w:pPr>
              <w:spacing w:after="0"/>
              <w:rPr>
                <w:sz w:val="21"/>
                <w:szCs w:val="21"/>
                <w:color w:val="auto"/>
              </w:rPr>
            </w:pPr>
          </w:p>
        </w:tc>
        <w:tc>
          <w:tcPr>
            <w:tcW w:w="560" w:type="dxa"/>
            <w:vAlign w:val="bottom"/>
            <w:tcBorders>
              <w:top w:val="single" w:sz="8" w:color="0000FF"/>
            </w:tcBorders>
            <w:shd w:val="clear" w:color="auto" w:fill="CFF0FC"/>
          </w:tcPr>
          <w:p>
            <w:pPr>
              <w:spacing w:after="0"/>
              <w:rPr>
                <w:sz w:val="21"/>
                <w:szCs w:val="21"/>
                <w:color w:val="auto"/>
              </w:rPr>
            </w:pPr>
          </w:p>
        </w:tc>
        <w:tc>
          <w:tcPr>
            <w:tcW w:w="360" w:type="dxa"/>
            <w:vAlign w:val="bottom"/>
            <w:tcBorders>
              <w:top w:val="single" w:sz="8" w:color="0000FF"/>
            </w:tcBorders>
            <w:shd w:val="clear" w:color="auto" w:fill="CFF0FC"/>
          </w:tcPr>
          <w:p>
            <w:pPr>
              <w:spacing w:after="0"/>
              <w:rPr>
                <w:sz w:val="21"/>
                <w:szCs w:val="21"/>
                <w:color w:val="auto"/>
              </w:rPr>
            </w:pPr>
          </w:p>
        </w:tc>
        <w:tc>
          <w:tcPr>
            <w:tcW w:w="240" w:type="dxa"/>
            <w:vAlign w:val="bottom"/>
            <w:tcBorders>
              <w:top w:val="single" w:sz="8" w:color="0000FF"/>
            </w:tcBorders>
            <w:shd w:val="clear" w:color="auto" w:fill="CFF0FC"/>
          </w:tcPr>
          <w:p>
            <w:pPr>
              <w:spacing w:after="0"/>
              <w:rPr>
                <w:sz w:val="21"/>
                <w:szCs w:val="21"/>
                <w:color w:val="auto"/>
              </w:rPr>
            </w:pPr>
          </w:p>
        </w:tc>
        <w:tc>
          <w:tcPr>
            <w:tcW w:w="260" w:type="dxa"/>
            <w:vAlign w:val="bottom"/>
            <w:tcBorders>
              <w:top w:val="single" w:sz="8" w:color="0000FF"/>
            </w:tcBorders>
            <w:shd w:val="clear" w:color="auto" w:fill="CFF0FC"/>
          </w:tcPr>
          <w:p>
            <w:pPr>
              <w:spacing w:after="0"/>
              <w:rPr>
                <w:sz w:val="21"/>
                <w:szCs w:val="21"/>
                <w:color w:val="auto"/>
              </w:rPr>
            </w:pPr>
          </w:p>
        </w:tc>
        <w:tc>
          <w:tcPr>
            <w:tcW w:w="140" w:type="dxa"/>
            <w:vAlign w:val="bottom"/>
            <w:tcBorders>
              <w:top w:val="single" w:sz="8" w:color="0000FF"/>
            </w:tcBorders>
            <w:shd w:val="clear" w:color="auto" w:fill="CFF0FC"/>
          </w:tcPr>
          <w:p>
            <w:pPr>
              <w:spacing w:after="0"/>
              <w:rPr>
                <w:sz w:val="21"/>
                <w:szCs w:val="21"/>
                <w:color w:val="auto"/>
              </w:rPr>
            </w:pPr>
          </w:p>
        </w:tc>
        <w:tc>
          <w:tcPr>
            <w:tcW w:w="400" w:type="dxa"/>
            <w:vAlign w:val="bottom"/>
            <w:tcBorders>
              <w:top w:val="single" w:sz="8" w:color="0000FF"/>
            </w:tcBorders>
            <w:shd w:val="clear" w:color="auto" w:fill="CFF0FC"/>
          </w:tcPr>
          <w:p>
            <w:pPr>
              <w:spacing w:after="0"/>
              <w:rPr>
                <w:sz w:val="21"/>
                <w:szCs w:val="21"/>
                <w:color w:val="auto"/>
              </w:rPr>
            </w:pPr>
          </w:p>
        </w:tc>
        <w:tc>
          <w:tcPr>
            <w:tcW w:w="220" w:type="dxa"/>
            <w:vAlign w:val="bottom"/>
            <w:tcBorders>
              <w:top w:val="single" w:sz="8" w:color="0000FF"/>
            </w:tcBorders>
            <w:shd w:val="clear" w:color="auto" w:fill="CFF0FC"/>
          </w:tcPr>
          <w:p>
            <w:pPr>
              <w:spacing w:after="0"/>
              <w:rPr>
                <w:sz w:val="21"/>
                <w:szCs w:val="21"/>
                <w:color w:val="auto"/>
              </w:rPr>
            </w:pPr>
          </w:p>
        </w:tc>
        <w:tc>
          <w:tcPr>
            <w:tcW w:w="1300" w:type="dxa"/>
            <w:vAlign w:val="bottom"/>
            <w:tcBorders>
              <w:top w:val="single" w:sz="8" w:color="CFF0FC"/>
            </w:tcBorders>
            <w:shd w:val="clear" w:color="auto" w:fill="CFF0FC"/>
          </w:tcPr>
          <w:p>
            <w:pPr>
              <w:spacing w:after="0"/>
              <w:rPr>
                <w:sz w:val="21"/>
                <w:szCs w:val="21"/>
                <w:color w:val="auto"/>
              </w:rPr>
            </w:pPr>
          </w:p>
        </w:tc>
        <w:tc>
          <w:tcPr>
            <w:tcW w:w="640" w:type="dxa"/>
            <w:vAlign w:val="bottom"/>
            <w:tcBorders>
              <w:top w:val="single" w:sz="8" w:color="CFF0FC"/>
            </w:tcBorders>
            <w:shd w:val="clear" w:color="auto" w:fill="CFF0FC"/>
          </w:tcPr>
          <w:p>
            <w:pPr>
              <w:spacing w:after="0"/>
              <w:rPr>
                <w:sz w:val="21"/>
                <w:szCs w:val="21"/>
                <w:color w:val="auto"/>
              </w:rPr>
            </w:pPr>
          </w:p>
        </w:tc>
        <w:tc>
          <w:tcPr>
            <w:tcW w:w="1040" w:type="dxa"/>
            <w:vAlign w:val="bottom"/>
            <w:tcBorders>
              <w:top w:val="single" w:sz="8" w:color="CFF0FC"/>
            </w:tcBorders>
            <w:shd w:val="clear" w:color="auto" w:fill="CFF0FC"/>
          </w:tcPr>
          <w:p>
            <w:pPr>
              <w:spacing w:after="0"/>
              <w:rPr>
                <w:sz w:val="21"/>
                <w:szCs w:val="21"/>
                <w:color w:val="auto"/>
              </w:rPr>
            </w:pPr>
          </w:p>
        </w:tc>
        <w:tc>
          <w:tcPr>
            <w:tcW w:w="560" w:type="dxa"/>
            <w:vAlign w:val="bottom"/>
            <w:tcBorders>
              <w:top w:val="single" w:sz="8" w:color="CFF0FC"/>
            </w:tcBorders>
            <w:shd w:val="clear" w:color="auto" w:fill="CFF0FC"/>
          </w:tcPr>
          <w:p>
            <w:pPr>
              <w:spacing w:after="0"/>
              <w:rPr>
                <w:sz w:val="21"/>
                <w:szCs w:val="21"/>
                <w:color w:val="auto"/>
              </w:rPr>
            </w:pPr>
          </w:p>
        </w:tc>
        <w:tc>
          <w:tcPr>
            <w:tcW w:w="28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80" w:type="dxa"/>
            <w:vAlign w:val="bottom"/>
            <w:tcBorders>
              <w:top w:val="single" w:sz="8" w:color="CFF0FC"/>
            </w:tcBorders>
            <w:shd w:val="clear" w:color="auto" w:fill="CFF0FC"/>
          </w:tcPr>
          <w:p>
            <w:pPr>
              <w:spacing w:after="0"/>
              <w:rPr>
                <w:sz w:val="21"/>
                <w:szCs w:val="21"/>
                <w:color w:val="auto"/>
              </w:rPr>
            </w:pPr>
          </w:p>
        </w:tc>
        <w:tc>
          <w:tcPr>
            <w:tcW w:w="12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60" w:type="dxa"/>
            <w:vAlign w:val="bottom"/>
            <w:tcBorders>
              <w:top w:val="single" w:sz="8" w:color="CFF0FC"/>
            </w:tcBorders>
            <w:shd w:val="clear" w:color="auto" w:fill="CFF0FC"/>
          </w:tcPr>
          <w:p>
            <w:pPr>
              <w:spacing w:after="0"/>
              <w:rPr>
                <w:sz w:val="21"/>
                <w:szCs w:val="21"/>
                <w:color w:val="auto"/>
              </w:rPr>
            </w:pPr>
          </w:p>
        </w:tc>
        <w:tc>
          <w:tcPr>
            <w:tcW w:w="14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4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80" w:type="dxa"/>
            <w:vAlign w:val="bottom"/>
            <w:tcBorders>
              <w:top w:val="single" w:sz="8" w:color="CFF0FC"/>
            </w:tcBorders>
            <w:shd w:val="clear" w:color="auto" w:fill="CFF0FC"/>
          </w:tcPr>
          <w:p>
            <w:pPr>
              <w:spacing w:after="0"/>
              <w:rPr>
                <w:sz w:val="21"/>
                <w:szCs w:val="21"/>
                <w:color w:val="auto"/>
              </w:rPr>
            </w:pPr>
          </w:p>
        </w:tc>
        <w:tc>
          <w:tcPr>
            <w:tcW w:w="4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12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520" w:type="dxa"/>
            <w:vAlign w:val="bottom"/>
            <w:tcBorders>
              <w:top w:val="single" w:sz="8" w:color="CFF0FC"/>
            </w:tcBorders>
            <w:shd w:val="clear" w:color="auto" w:fill="CFF0FC"/>
          </w:tcPr>
          <w:p>
            <w:pPr>
              <w:spacing w:after="0"/>
              <w:rPr>
                <w:sz w:val="21"/>
                <w:szCs w:val="21"/>
                <w:color w:val="auto"/>
              </w:rPr>
            </w:pPr>
          </w:p>
        </w:tc>
        <w:tc>
          <w:tcPr>
            <w:tcW w:w="140" w:type="dxa"/>
            <w:vAlign w:val="bottom"/>
            <w:tcBorders>
              <w:top w:val="single" w:sz="8" w:color="CFF0FC"/>
            </w:tcBorders>
            <w:shd w:val="clear" w:color="auto" w:fill="CFF0FC"/>
          </w:tcPr>
          <w:p>
            <w:pPr>
              <w:spacing w:after="0"/>
              <w:rPr>
                <w:sz w:val="21"/>
                <w:szCs w:val="21"/>
                <w:color w:val="auto"/>
              </w:rPr>
            </w:pPr>
          </w:p>
        </w:tc>
        <w:tc>
          <w:tcPr>
            <w:tcW w:w="420" w:type="dxa"/>
            <w:vAlign w:val="bottom"/>
            <w:tcBorders>
              <w:top w:val="single" w:sz="8" w:color="CFF0FC"/>
            </w:tcBorders>
            <w:shd w:val="clear" w:color="auto" w:fill="CFF0FC"/>
          </w:tcPr>
          <w:p>
            <w:pPr>
              <w:spacing w:after="0"/>
              <w:rPr>
                <w:sz w:val="21"/>
                <w:szCs w:val="21"/>
                <w:color w:val="auto"/>
              </w:rPr>
            </w:pPr>
          </w:p>
        </w:tc>
        <w:tc>
          <w:tcPr>
            <w:tcW w:w="1260" w:type="dxa"/>
            <w:vAlign w:val="bottom"/>
            <w:tcBorders>
              <w:top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Borders>
              <w:top w:val="single" w:sz="8" w:color="CFF0FC"/>
            </w:tcBorders>
            <w:shd w:val="clear" w:color="auto" w:fill="CFF0FC"/>
          </w:tcPr>
          <w:p>
            <w:pPr>
              <w:spacing w:after="0"/>
              <w:rPr>
                <w:sz w:val="21"/>
                <w:szCs w:val="21"/>
                <w:color w:val="auto"/>
              </w:rPr>
            </w:pPr>
          </w:p>
        </w:tc>
        <w:tc>
          <w:tcPr>
            <w:tcW w:w="120" w:type="dxa"/>
            <w:vAlign w:val="bottom"/>
            <w:tcBorders>
              <w:top w:val="single" w:sz="8" w:color="CFF0FC"/>
            </w:tcBorders>
            <w:shd w:val="clear" w:color="auto" w:fill="CFF0FC"/>
          </w:tcPr>
          <w:p>
            <w:pPr>
              <w:spacing w:after="0"/>
              <w:rPr>
                <w:sz w:val="21"/>
                <w:szCs w:val="21"/>
                <w:color w:val="auto"/>
              </w:rPr>
            </w:pPr>
          </w:p>
        </w:tc>
        <w:tc>
          <w:tcPr>
            <w:tcW w:w="640" w:type="dxa"/>
            <w:vAlign w:val="bottom"/>
            <w:tcBorders>
              <w:top w:val="single" w:sz="8" w:color="CFF0FC"/>
              <w:right w:val="single" w:sz="8" w:color="CFF0FC"/>
            </w:tcBorders>
            <w:shd w:val="clear" w:color="auto" w:fill="CFF0FC"/>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7620" w:type="dxa"/>
            <w:vAlign w:val="bottom"/>
            <w:gridSpan w:val="30"/>
          </w:tcPr>
          <w:p>
            <w:pPr>
              <w:ind w:left="6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10.23†   </w:t>
            </w:r>
            <w:hyperlink r:id="rId746">
              <w:r>
                <w:rPr>
                  <w:rFonts w:ascii="Times New Roman" w:cs="Times New Roman" w:eastAsia="Times New Roman" w:hAnsi="Times New Roman"/>
                  <w:sz w:val="18"/>
                  <w:szCs w:val="18"/>
                  <w:color w:val="0000FF"/>
                </w:rPr>
                <w:t>Towers Watson Amended and Restated 2009 Long Term Incentive Plan</w:t>
              </w:r>
            </w:hyperlink>
          </w:p>
        </w:tc>
        <w:tc>
          <w:tcPr>
            <w:tcW w:w="20" w:type="dxa"/>
            <w:vAlign w:val="bottom"/>
          </w:tcPr>
          <w:p>
            <w:pPr>
              <w:spacing w:after="0"/>
              <w:rPr>
                <w:sz w:val="16"/>
                <w:szCs w:val="16"/>
                <w:color w:val="auto"/>
              </w:rPr>
            </w:pPr>
          </w:p>
        </w:tc>
        <w:tc>
          <w:tcPr>
            <w:tcW w:w="5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5"/>
              </w:rPr>
              <w:t>S-8</w:t>
            </w:r>
          </w:p>
        </w:tc>
        <w:tc>
          <w:tcPr>
            <w:tcW w:w="560" w:type="dxa"/>
            <w:vAlign w:val="bottom"/>
            <w:gridSpan w:val="2"/>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rPr>
              <w:t>99.1</w:t>
            </w:r>
          </w:p>
        </w:tc>
        <w:tc>
          <w:tcPr>
            <w:tcW w:w="1280" w:type="dxa"/>
            <w:vAlign w:val="bottom"/>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auto"/>
              </w:rPr>
              <w:t>January 5,</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1300" w:type="dxa"/>
            <w:vAlign w:val="bottom"/>
            <w:tcBorders>
              <w:top w:val="single" w:sz="8" w:color="0000FF"/>
            </w:tcBorders>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1040" w:type="dxa"/>
            <w:vAlign w:val="bottom"/>
            <w:tcBorders>
              <w:top w:val="single" w:sz="8" w:color="0000FF"/>
            </w:tcBorders>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2016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60" w:type="dxa"/>
            <w:vAlign w:val="bottom"/>
            <w:tcBorders>
              <w:right w:val="single" w:sz="8" w:color="CFF0FC"/>
            </w:tcBorders>
          </w:tcPr>
          <w:p>
            <w:pPr>
              <w:spacing w:after="0"/>
              <w:rPr>
                <w:sz w:val="17"/>
                <w:szCs w:val="17"/>
                <w:color w:val="auto"/>
              </w:rPr>
            </w:pPr>
          </w:p>
        </w:tc>
        <w:tc>
          <w:tcPr>
            <w:tcW w:w="7620" w:type="dxa"/>
            <w:vAlign w:val="bottom"/>
            <w:gridSpan w:val="30"/>
            <w:shd w:val="clear" w:color="auto" w:fill="CFF0FC"/>
          </w:tcPr>
          <w:p>
            <w:pPr>
              <w:ind w:left="60"/>
              <w:spacing w:after="0" w:line="195"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10.24†   </w:t>
            </w:r>
            <w:hyperlink r:id="rId747">
              <w:r>
                <w:rPr>
                  <w:rFonts w:ascii="Times New Roman" w:cs="Times New Roman" w:eastAsia="Times New Roman" w:hAnsi="Times New Roman"/>
                  <w:sz w:val="18"/>
                  <w:szCs w:val="18"/>
                  <w:color w:val="0000FF"/>
                </w:rPr>
                <w:t>Trust Deed and Rules of the Towers Watson Limited Share Incentive Plan 2005 (U.K.)</w:t>
              </w:r>
            </w:hyperlink>
          </w:p>
        </w:tc>
        <w:tc>
          <w:tcPr>
            <w:tcW w:w="20" w:type="dxa"/>
            <w:vAlign w:val="bottom"/>
            <w:shd w:val="clear" w:color="auto" w:fill="CFF0FC"/>
          </w:tcPr>
          <w:p>
            <w:pPr>
              <w:spacing w:after="0"/>
              <w:rPr>
                <w:sz w:val="17"/>
                <w:szCs w:val="17"/>
                <w:color w:val="auto"/>
              </w:rPr>
            </w:pPr>
          </w:p>
        </w:tc>
        <w:tc>
          <w:tcPr>
            <w:tcW w:w="520" w:type="dxa"/>
            <w:vAlign w:val="bottom"/>
            <w:shd w:val="clear" w:color="auto" w:fill="CFF0FC"/>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10-K</w:t>
            </w:r>
          </w:p>
        </w:tc>
        <w:tc>
          <w:tcPr>
            <w:tcW w:w="560" w:type="dxa"/>
            <w:vAlign w:val="bottom"/>
            <w:gridSpan w:val="2"/>
            <w:shd w:val="clear" w:color="auto" w:fill="CFF0FC"/>
          </w:tcPr>
          <w:p>
            <w:pPr>
              <w:jc w:val="center"/>
              <w:ind w:left="30"/>
              <w:spacing w:after="0" w:line="195" w:lineRule="exact"/>
              <w:rPr>
                <w:sz w:val="20"/>
                <w:szCs w:val="20"/>
                <w:color w:val="auto"/>
              </w:rPr>
            </w:pPr>
            <w:r>
              <w:rPr>
                <w:rFonts w:ascii="Times New Roman" w:cs="Times New Roman" w:eastAsia="Times New Roman" w:hAnsi="Times New Roman"/>
                <w:sz w:val="18"/>
                <w:szCs w:val="18"/>
                <w:color w:val="auto"/>
                <w:w w:val="98"/>
              </w:rPr>
              <w:t>10.21</w:t>
            </w:r>
          </w:p>
        </w:tc>
        <w:tc>
          <w:tcPr>
            <w:tcW w:w="1280" w:type="dxa"/>
            <w:vAlign w:val="bottom"/>
            <w:gridSpan w:val="3"/>
            <w:shd w:val="clear" w:color="auto" w:fill="CFF0FC"/>
          </w:tcPr>
          <w:p>
            <w:pPr>
              <w:ind w:left="120"/>
              <w:spacing w:after="0" w:line="195" w:lineRule="exact"/>
              <w:rPr>
                <w:sz w:val="20"/>
                <w:szCs w:val="20"/>
                <w:color w:val="auto"/>
              </w:rPr>
            </w:pPr>
            <w:r>
              <w:rPr>
                <w:rFonts w:ascii="Times New Roman" w:cs="Times New Roman" w:eastAsia="Times New Roman" w:hAnsi="Times New Roman"/>
                <w:sz w:val="18"/>
                <w:szCs w:val="18"/>
                <w:color w:val="auto"/>
              </w:rPr>
              <w:t>September 1,</w:t>
            </w:r>
          </w:p>
        </w:tc>
        <w:tc>
          <w:tcPr>
            <w:tcW w:w="120" w:type="dxa"/>
            <w:vAlign w:val="bottom"/>
            <w:shd w:val="clear" w:color="auto" w:fill="CFF0FC"/>
          </w:tcPr>
          <w:p>
            <w:pPr>
              <w:spacing w:after="0"/>
              <w:rPr>
                <w:sz w:val="17"/>
                <w:szCs w:val="17"/>
                <w:color w:val="auto"/>
              </w:rPr>
            </w:pPr>
          </w:p>
        </w:tc>
        <w:tc>
          <w:tcPr>
            <w:tcW w:w="640" w:type="dxa"/>
            <w:vAlign w:val="bottom"/>
            <w:tcBorders>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60" w:type="dxa"/>
            <w:vAlign w:val="bottom"/>
            <w:tcBorders>
              <w:right w:val="single" w:sz="8" w:color="CFF0FC"/>
            </w:tcBorders>
          </w:tcPr>
          <w:p>
            <w:pPr>
              <w:spacing w:after="0"/>
              <w:rPr>
                <w:sz w:val="21"/>
                <w:szCs w:val="21"/>
                <w:color w:val="auto"/>
              </w:rPr>
            </w:pPr>
          </w:p>
        </w:tc>
        <w:tc>
          <w:tcPr>
            <w:tcW w:w="640" w:type="dxa"/>
            <w:vAlign w:val="bottom"/>
            <w:tcBorders>
              <w:top w:val="single" w:sz="8" w:color="CFF0FC"/>
            </w:tcBorders>
            <w:shd w:val="clear" w:color="auto" w:fill="CFF0FC"/>
          </w:tcPr>
          <w:p>
            <w:pPr>
              <w:spacing w:after="0"/>
              <w:rPr>
                <w:sz w:val="21"/>
                <w:szCs w:val="21"/>
                <w:color w:val="auto"/>
              </w:rPr>
            </w:pPr>
          </w:p>
        </w:tc>
        <w:tc>
          <w:tcPr>
            <w:tcW w:w="140" w:type="dxa"/>
            <w:vAlign w:val="bottom"/>
            <w:tcBorders>
              <w:top w:val="single" w:sz="8" w:color="CFF0FC"/>
            </w:tcBorders>
            <w:shd w:val="clear" w:color="auto" w:fill="CFF0FC"/>
          </w:tcPr>
          <w:p>
            <w:pPr>
              <w:spacing w:after="0"/>
              <w:rPr>
                <w:sz w:val="21"/>
                <w:szCs w:val="21"/>
                <w:color w:val="auto"/>
              </w:rPr>
            </w:pPr>
          </w:p>
        </w:tc>
        <w:tc>
          <w:tcPr>
            <w:tcW w:w="560" w:type="dxa"/>
            <w:vAlign w:val="bottom"/>
            <w:tcBorders>
              <w:top w:val="single" w:sz="8" w:color="0000FF"/>
            </w:tcBorders>
            <w:shd w:val="clear" w:color="auto" w:fill="CFF0FC"/>
          </w:tcPr>
          <w:p>
            <w:pPr>
              <w:spacing w:after="0"/>
              <w:rPr>
                <w:sz w:val="21"/>
                <w:szCs w:val="21"/>
                <w:color w:val="auto"/>
              </w:rPr>
            </w:pPr>
          </w:p>
        </w:tc>
        <w:tc>
          <w:tcPr>
            <w:tcW w:w="360" w:type="dxa"/>
            <w:vAlign w:val="bottom"/>
            <w:tcBorders>
              <w:top w:val="single" w:sz="8" w:color="0000FF"/>
            </w:tcBorders>
            <w:shd w:val="clear" w:color="auto" w:fill="CFF0FC"/>
          </w:tcPr>
          <w:p>
            <w:pPr>
              <w:spacing w:after="0"/>
              <w:rPr>
                <w:sz w:val="21"/>
                <w:szCs w:val="21"/>
                <w:color w:val="auto"/>
              </w:rPr>
            </w:pPr>
          </w:p>
        </w:tc>
        <w:tc>
          <w:tcPr>
            <w:tcW w:w="240" w:type="dxa"/>
            <w:vAlign w:val="bottom"/>
            <w:tcBorders>
              <w:top w:val="single" w:sz="8" w:color="0000FF"/>
            </w:tcBorders>
            <w:shd w:val="clear" w:color="auto" w:fill="CFF0FC"/>
          </w:tcPr>
          <w:p>
            <w:pPr>
              <w:spacing w:after="0"/>
              <w:rPr>
                <w:sz w:val="21"/>
                <w:szCs w:val="21"/>
                <w:color w:val="auto"/>
              </w:rPr>
            </w:pPr>
          </w:p>
        </w:tc>
        <w:tc>
          <w:tcPr>
            <w:tcW w:w="260" w:type="dxa"/>
            <w:vAlign w:val="bottom"/>
            <w:tcBorders>
              <w:top w:val="single" w:sz="8" w:color="0000FF"/>
            </w:tcBorders>
            <w:shd w:val="clear" w:color="auto" w:fill="CFF0FC"/>
          </w:tcPr>
          <w:p>
            <w:pPr>
              <w:spacing w:after="0"/>
              <w:rPr>
                <w:sz w:val="21"/>
                <w:szCs w:val="21"/>
                <w:color w:val="auto"/>
              </w:rPr>
            </w:pPr>
          </w:p>
        </w:tc>
        <w:tc>
          <w:tcPr>
            <w:tcW w:w="140" w:type="dxa"/>
            <w:vAlign w:val="bottom"/>
            <w:tcBorders>
              <w:top w:val="single" w:sz="8" w:color="0000FF"/>
            </w:tcBorders>
            <w:shd w:val="clear" w:color="auto" w:fill="CFF0FC"/>
          </w:tcPr>
          <w:p>
            <w:pPr>
              <w:spacing w:after="0"/>
              <w:rPr>
                <w:sz w:val="21"/>
                <w:szCs w:val="21"/>
                <w:color w:val="auto"/>
              </w:rPr>
            </w:pPr>
          </w:p>
        </w:tc>
        <w:tc>
          <w:tcPr>
            <w:tcW w:w="400" w:type="dxa"/>
            <w:vAlign w:val="bottom"/>
            <w:tcBorders>
              <w:top w:val="single" w:sz="8" w:color="0000FF"/>
            </w:tcBorders>
            <w:shd w:val="clear" w:color="auto" w:fill="CFF0FC"/>
          </w:tcPr>
          <w:p>
            <w:pPr>
              <w:spacing w:after="0"/>
              <w:rPr>
                <w:sz w:val="21"/>
                <w:szCs w:val="21"/>
                <w:color w:val="auto"/>
              </w:rPr>
            </w:pPr>
          </w:p>
        </w:tc>
        <w:tc>
          <w:tcPr>
            <w:tcW w:w="220" w:type="dxa"/>
            <w:vAlign w:val="bottom"/>
            <w:tcBorders>
              <w:top w:val="single" w:sz="8" w:color="0000FF"/>
            </w:tcBorders>
            <w:shd w:val="clear" w:color="auto" w:fill="CFF0FC"/>
          </w:tcPr>
          <w:p>
            <w:pPr>
              <w:spacing w:after="0"/>
              <w:rPr>
                <w:sz w:val="21"/>
                <w:szCs w:val="21"/>
                <w:color w:val="auto"/>
              </w:rPr>
            </w:pPr>
          </w:p>
        </w:tc>
        <w:tc>
          <w:tcPr>
            <w:tcW w:w="1300" w:type="dxa"/>
            <w:vAlign w:val="bottom"/>
            <w:tcBorders>
              <w:top w:val="single" w:sz="8" w:color="0000FF"/>
            </w:tcBorders>
            <w:shd w:val="clear" w:color="auto" w:fill="CFF0FC"/>
          </w:tcPr>
          <w:p>
            <w:pPr>
              <w:spacing w:after="0"/>
              <w:rPr>
                <w:sz w:val="21"/>
                <w:szCs w:val="21"/>
                <w:color w:val="auto"/>
              </w:rPr>
            </w:pPr>
          </w:p>
        </w:tc>
        <w:tc>
          <w:tcPr>
            <w:tcW w:w="640" w:type="dxa"/>
            <w:vAlign w:val="bottom"/>
            <w:tcBorders>
              <w:top w:val="single" w:sz="8" w:color="0000FF"/>
            </w:tcBorders>
            <w:shd w:val="clear" w:color="auto" w:fill="CFF0FC"/>
          </w:tcPr>
          <w:p>
            <w:pPr>
              <w:spacing w:after="0"/>
              <w:rPr>
                <w:sz w:val="21"/>
                <w:szCs w:val="21"/>
                <w:color w:val="auto"/>
              </w:rPr>
            </w:pPr>
          </w:p>
        </w:tc>
        <w:tc>
          <w:tcPr>
            <w:tcW w:w="1040" w:type="dxa"/>
            <w:vAlign w:val="bottom"/>
            <w:tcBorders>
              <w:top w:val="single" w:sz="8" w:color="0000FF"/>
            </w:tcBorders>
            <w:shd w:val="clear" w:color="auto" w:fill="CFF0FC"/>
          </w:tcPr>
          <w:p>
            <w:pPr>
              <w:spacing w:after="0"/>
              <w:rPr>
                <w:sz w:val="21"/>
                <w:szCs w:val="21"/>
                <w:color w:val="auto"/>
              </w:rPr>
            </w:pPr>
          </w:p>
        </w:tc>
        <w:tc>
          <w:tcPr>
            <w:tcW w:w="560" w:type="dxa"/>
            <w:vAlign w:val="bottom"/>
            <w:tcBorders>
              <w:top w:val="single" w:sz="8" w:color="0000FF"/>
            </w:tcBorders>
            <w:shd w:val="clear" w:color="auto" w:fill="CFF0FC"/>
          </w:tcPr>
          <w:p>
            <w:pPr>
              <w:spacing w:after="0"/>
              <w:rPr>
                <w:sz w:val="21"/>
                <w:szCs w:val="21"/>
                <w:color w:val="auto"/>
              </w:rPr>
            </w:pPr>
          </w:p>
        </w:tc>
        <w:tc>
          <w:tcPr>
            <w:tcW w:w="280" w:type="dxa"/>
            <w:vAlign w:val="bottom"/>
            <w:tcBorders>
              <w:top w:val="single" w:sz="8" w:color="0000FF"/>
            </w:tcBorders>
            <w:shd w:val="clear" w:color="auto" w:fill="CFF0FC"/>
          </w:tcPr>
          <w:p>
            <w:pPr>
              <w:spacing w:after="0"/>
              <w:rPr>
                <w:sz w:val="21"/>
                <w:szCs w:val="21"/>
                <w:color w:val="auto"/>
              </w:rPr>
            </w:pPr>
          </w:p>
        </w:tc>
        <w:tc>
          <w:tcPr>
            <w:tcW w:w="20" w:type="dxa"/>
            <w:vAlign w:val="bottom"/>
            <w:tcBorders>
              <w:top w:val="single" w:sz="8" w:color="0000FF"/>
            </w:tcBorders>
            <w:shd w:val="clear" w:color="auto" w:fill="CFF0FC"/>
          </w:tcPr>
          <w:p>
            <w:pPr>
              <w:spacing w:after="0"/>
              <w:rPr>
                <w:sz w:val="21"/>
                <w:szCs w:val="21"/>
                <w:color w:val="auto"/>
              </w:rPr>
            </w:pPr>
          </w:p>
        </w:tc>
        <w:tc>
          <w:tcPr>
            <w:tcW w:w="80" w:type="dxa"/>
            <w:vAlign w:val="bottom"/>
            <w:tcBorders>
              <w:top w:val="single" w:sz="8" w:color="0000FF"/>
            </w:tcBorders>
            <w:shd w:val="clear" w:color="auto" w:fill="CFF0FC"/>
          </w:tcPr>
          <w:p>
            <w:pPr>
              <w:spacing w:after="0"/>
              <w:rPr>
                <w:sz w:val="21"/>
                <w:szCs w:val="21"/>
                <w:color w:val="auto"/>
              </w:rPr>
            </w:pPr>
          </w:p>
        </w:tc>
        <w:tc>
          <w:tcPr>
            <w:tcW w:w="120" w:type="dxa"/>
            <w:vAlign w:val="bottom"/>
            <w:tcBorders>
              <w:top w:val="single" w:sz="8" w:color="0000FF"/>
            </w:tcBorders>
            <w:shd w:val="clear" w:color="auto" w:fill="CFF0FC"/>
          </w:tcPr>
          <w:p>
            <w:pPr>
              <w:spacing w:after="0"/>
              <w:rPr>
                <w:sz w:val="21"/>
                <w:szCs w:val="21"/>
                <w:color w:val="auto"/>
              </w:rPr>
            </w:pPr>
          </w:p>
        </w:tc>
        <w:tc>
          <w:tcPr>
            <w:tcW w:w="20" w:type="dxa"/>
            <w:vAlign w:val="bottom"/>
            <w:tcBorders>
              <w:top w:val="single" w:sz="8" w:color="0000FF"/>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60" w:type="dxa"/>
            <w:vAlign w:val="bottom"/>
            <w:tcBorders>
              <w:top w:val="single" w:sz="8" w:color="CFF0FC"/>
            </w:tcBorders>
            <w:shd w:val="clear" w:color="auto" w:fill="CFF0FC"/>
          </w:tcPr>
          <w:p>
            <w:pPr>
              <w:spacing w:after="0"/>
              <w:rPr>
                <w:sz w:val="21"/>
                <w:szCs w:val="21"/>
                <w:color w:val="auto"/>
              </w:rPr>
            </w:pPr>
          </w:p>
        </w:tc>
        <w:tc>
          <w:tcPr>
            <w:tcW w:w="14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4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80" w:type="dxa"/>
            <w:vAlign w:val="bottom"/>
            <w:tcBorders>
              <w:top w:val="single" w:sz="8" w:color="CFF0FC"/>
            </w:tcBorders>
            <w:shd w:val="clear" w:color="auto" w:fill="CFF0FC"/>
          </w:tcPr>
          <w:p>
            <w:pPr>
              <w:spacing w:after="0"/>
              <w:rPr>
                <w:sz w:val="21"/>
                <w:szCs w:val="21"/>
                <w:color w:val="auto"/>
              </w:rPr>
            </w:pPr>
          </w:p>
        </w:tc>
        <w:tc>
          <w:tcPr>
            <w:tcW w:w="4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12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520" w:type="dxa"/>
            <w:vAlign w:val="bottom"/>
            <w:tcBorders>
              <w:top w:val="single" w:sz="8" w:color="CFF0FC"/>
            </w:tcBorders>
            <w:shd w:val="clear" w:color="auto" w:fill="CFF0FC"/>
          </w:tcPr>
          <w:p>
            <w:pPr>
              <w:spacing w:after="0"/>
              <w:rPr>
                <w:sz w:val="21"/>
                <w:szCs w:val="21"/>
                <w:color w:val="auto"/>
              </w:rPr>
            </w:pPr>
          </w:p>
        </w:tc>
        <w:tc>
          <w:tcPr>
            <w:tcW w:w="140" w:type="dxa"/>
            <w:vAlign w:val="bottom"/>
            <w:tcBorders>
              <w:top w:val="single" w:sz="8" w:color="CFF0FC"/>
            </w:tcBorders>
            <w:shd w:val="clear" w:color="auto" w:fill="CFF0FC"/>
          </w:tcPr>
          <w:p>
            <w:pPr>
              <w:spacing w:after="0"/>
              <w:rPr>
                <w:sz w:val="21"/>
                <w:szCs w:val="21"/>
                <w:color w:val="auto"/>
              </w:rPr>
            </w:pPr>
          </w:p>
        </w:tc>
        <w:tc>
          <w:tcPr>
            <w:tcW w:w="420" w:type="dxa"/>
            <w:vAlign w:val="bottom"/>
            <w:tcBorders>
              <w:top w:val="single" w:sz="8" w:color="CFF0FC"/>
            </w:tcBorders>
            <w:shd w:val="clear" w:color="auto" w:fill="CFF0FC"/>
          </w:tcPr>
          <w:p>
            <w:pPr>
              <w:spacing w:after="0"/>
              <w:rPr>
                <w:sz w:val="21"/>
                <w:szCs w:val="21"/>
                <w:color w:val="auto"/>
              </w:rPr>
            </w:pPr>
          </w:p>
        </w:tc>
        <w:tc>
          <w:tcPr>
            <w:tcW w:w="1260" w:type="dxa"/>
            <w:vAlign w:val="bottom"/>
            <w:tcBorders>
              <w:top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2006</w:t>
            </w:r>
          </w:p>
        </w:tc>
        <w:tc>
          <w:tcPr>
            <w:tcW w:w="20" w:type="dxa"/>
            <w:vAlign w:val="bottom"/>
            <w:tcBorders>
              <w:top w:val="single" w:sz="8" w:color="CFF0FC"/>
            </w:tcBorders>
            <w:shd w:val="clear" w:color="auto" w:fill="CFF0FC"/>
          </w:tcPr>
          <w:p>
            <w:pPr>
              <w:spacing w:after="0"/>
              <w:rPr>
                <w:sz w:val="21"/>
                <w:szCs w:val="21"/>
                <w:color w:val="auto"/>
              </w:rPr>
            </w:pPr>
          </w:p>
        </w:tc>
        <w:tc>
          <w:tcPr>
            <w:tcW w:w="120" w:type="dxa"/>
            <w:vAlign w:val="bottom"/>
            <w:tcBorders>
              <w:top w:val="single" w:sz="8" w:color="CFF0FC"/>
            </w:tcBorders>
            <w:shd w:val="clear" w:color="auto" w:fill="CFF0FC"/>
          </w:tcPr>
          <w:p>
            <w:pPr>
              <w:spacing w:after="0"/>
              <w:rPr>
                <w:sz w:val="21"/>
                <w:szCs w:val="21"/>
                <w:color w:val="auto"/>
              </w:rPr>
            </w:pPr>
          </w:p>
        </w:tc>
        <w:tc>
          <w:tcPr>
            <w:tcW w:w="640" w:type="dxa"/>
            <w:vAlign w:val="bottom"/>
            <w:tcBorders>
              <w:top w:val="single" w:sz="8" w:color="CFF0FC"/>
              <w:right w:val="single" w:sz="8" w:color="CFF0FC"/>
            </w:tcBorders>
            <w:shd w:val="clear" w:color="auto" w:fill="CFF0FC"/>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7620" w:type="dxa"/>
            <w:vAlign w:val="bottom"/>
            <w:gridSpan w:val="30"/>
          </w:tcPr>
          <w:p>
            <w:pPr>
              <w:ind w:left="6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10.25†   </w:t>
            </w:r>
            <w:hyperlink r:id="rId748">
              <w:r>
                <w:rPr>
                  <w:rFonts w:ascii="Times New Roman" w:cs="Times New Roman" w:eastAsia="Times New Roman" w:hAnsi="Times New Roman"/>
                  <w:sz w:val="18"/>
                  <w:szCs w:val="18"/>
                  <w:color w:val="0000FF"/>
                </w:rPr>
                <w:t>Towers Watson Limited Share Incentive Plan 2005 Deed of Amendment (U.K.)</w:t>
              </w:r>
            </w:hyperlink>
          </w:p>
        </w:tc>
        <w:tc>
          <w:tcPr>
            <w:tcW w:w="20" w:type="dxa"/>
            <w:vAlign w:val="bottom"/>
          </w:tcPr>
          <w:p>
            <w:pPr>
              <w:spacing w:after="0"/>
              <w:rPr>
                <w:sz w:val="16"/>
                <w:szCs w:val="16"/>
                <w:color w:val="auto"/>
              </w:rPr>
            </w:pPr>
          </w:p>
        </w:tc>
        <w:tc>
          <w:tcPr>
            <w:tcW w:w="5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10-K</w:t>
            </w:r>
          </w:p>
        </w:tc>
        <w:tc>
          <w:tcPr>
            <w:tcW w:w="560" w:type="dxa"/>
            <w:vAlign w:val="bottom"/>
            <w:gridSpan w:val="2"/>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8"/>
              </w:rPr>
              <w:t>10.22</w:t>
            </w:r>
          </w:p>
        </w:tc>
        <w:tc>
          <w:tcPr>
            <w:tcW w:w="1280" w:type="dxa"/>
            <w:vAlign w:val="bottom"/>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auto"/>
              </w:rPr>
              <w:t>September 1,</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1300" w:type="dxa"/>
            <w:vAlign w:val="bottom"/>
            <w:tcBorders>
              <w:top w:val="single" w:sz="8" w:color="0000FF"/>
            </w:tcBorders>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1040" w:type="dxa"/>
            <w:vAlign w:val="bottom"/>
            <w:tcBorders>
              <w:top w:val="single" w:sz="8" w:color="0000FF"/>
            </w:tcBorders>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2006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60" w:type="dxa"/>
            <w:vAlign w:val="bottom"/>
            <w:tcBorders>
              <w:right w:val="single" w:sz="8" w:color="CFF0FC"/>
            </w:tcBorders>
          </w:tcPr>
          <w:p>
            <w:pPr>
              <w:spacing w:after="0"/>
              <w:rPr>
                <w:sz w:val="17"/>
                <w:szCs w:val="17"/>
                <w:color w:val="auto"/>
              </w:rPr>
            </w:pPr>
          </w:p>
        </w:tc>
        <w:tc>
          <w:tcPr>
            <w:tcW w:w="7620" w:type="dxa"/>
            <w:vAlign w:val="bottom"/>
            <w:gridSpan w:val="30"/>
            <w:shd w:val="clear" w:color="auto" w:fill="CFF0FC"/>
          </w:tcPr>
          <w:p>
            <w:pPr>
              <w:ind w:left="60"/>
              <w:spacing w:after="0" w:line="195"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10.26†   </w:t>
            </w:r>
            <w:hyperlink r:id="rId749">
              <w:r>
                <w:rPr>
                  <w:rFonts w:ascii="Times New Roman" w:cs="Times New Roman" w:eastAsia="Times New Roman" w:hAnsi="Times New Roman"/>
                  <w:sz w:val="18"/>
                  <w:szCs w:val="18"/>
                  <w:color w:val="0000FF"/>
                </w:rPr>
                <w:t>Towers Watson Limited Share Incentive Plan 2005 Deed to Change the Trust Deed and</w:t>
              </w:r>
            </w:hyperlink>
          </w:p>
        </w:tc>
        <w:tc>
          <w:tcPr>
            <w:tcW w:w="20" w:type="dxa"/>
            <w:vAlign w:val="bottom"/>
            <w:shd w:val="clear" w:color="auto" w:fill="CFF0FC"/>
          </w:tcPr>
          <w:p>
            <w:pPr>
              <w:spacing w:after="0"/>
              <w:rPr>
                <w:sz w:val="17"/>
                <w:szCs w:val="17"/>
                <w:color w:val="auto"/>
              </w:rPr>
            </w:pPr>
          </w:p>
        </w:tc>
        <w:tc>
          <w:tcPr>
            <w:tcW w:w="520" w:type="dxa"/>
            <w:vAlign w:val="bottom"/>
            <w:shd w:val="clear" w:color="auto" w:fill="CFF0FC"/>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10-K</w:t>
            </w:r>
          </w:p>
        </w:tc>
        <w:tc>
          <w:tcPr>
            <w:tcW w:w="560" w:type="dxa"/>
            <w:vAlign w:val="bottom"/>
            <w:gridSpan w:val="2"/>
            <w:shd w:val="clear" w:color="auto" w:fill="CFF0FC"/>
          </w:tcPr>
          <w:p>
            <w:pPr>
              <w:jc w:val="center"/>
              <w:ind w:left="30"/>
              <w:spacing w:after="0" w:line="195" w:lineRule="exact"/>
              <w:rPr>
                <w:sz w:val="20"/>
                <w:szCs w:val="20"/>
                <w:color w:val="auto"/>
              </w:rPr>
            </w:pPr>
            <w:r>
              <w:rPr>
                <w:rFonts w:ascii="Times New Roman" w:cs="Times New Roman" w:eastAsia="Times New Roman" w:hAnsi="Times New Roman"/>
                <w:sz w:val="18"/>
                <w:szCs w:val="18"/>
                <w:color w:val="auto"/>
                <w:w w:val="98"/>
              </w:rPr>
              <w:t>10.10</w:t>
            </w:r>
          </w:p>
        </w:tc>
        <w:tc>
          <w:tcPr>
            <w:tcW w:w="1280" w:type="dxa"/>
            <w:vAlign w:val="bottom"/>
            <w:gridSpan w:val="3"/>
            <w:shd w:val="clear" w:color="auto" w:fill="CFF0FC"/>
          </w:tcPr>
          <w:p>
            <w:pPr>
              <w:ind w:left="120"/>
              <w:spacing w:after="0" w:line="195" w:lineRule="exact"/>
              <w:rPr>
                <w:sz w:val="20"/>
                <w:szCs w:val="20"/>
                <w:color w:val="auto"/>
              </w:rPr>
            </w:pPr>
            <w:r>
              <w:rPr>
                <w:rFonts w:ascii="Times New Roman" w:cs="Times New Roman" w:eastAsia="Times New Roman" w:hAnsi="Times New Roman"/>
                <w:sz w:val="18"/>
                <w:szCs w:val="18"/>
                <w:color w:val="auto"/>
              </w:rPr>
              <w:t>August 29,</w:t>
            </w:r>
          </w:p>
        </w:tc>
        <w:tc>
          <w:tcPr>
            <w:tcW w:w="120" w:type="dxa"/>
            <w:vAlign w:val="bottom"/>
            <w:shd w:val="clear" w:color="auto" w:fill="CFF0FC"/>
          </w:tcPr>
          <w:p>
            <w:pPr>
              <w:spacing w:after="0"/>
              <w:rPr>
                <w:sz w:val="17"/>
                <w:szCs w:val="17"/>
                <w:color w:val="auto"/>
              </w:rPr>
            </w:pPr>
          </w:p>
        </w:tc>
        <w:tc>
          <w:tcPr>
            <w:tcW w:w="640" w:type="dxa"/>
            <w:vAlign w:val="bottom"/>
            <w:tcBorders>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6320" w:type="dxa"/>
            <w:vAlign w:val="bottom"/>
            <w:tcBorders>
              <w:top w:val="single" w:sz="8" w:color="0000FF"/>
            </w:tcBorders>
            <w:gridSpan w:val="18"/>
            <w:shd w:val="clear" w:color="auto" w:fill="CFF0FC"/>
          </w:tcPr>
          <w:p>
            <w:pPr>
              <w:spacing w:after="0" w:line="195" w:lineRule="exact"/>
              <w:rPr>
                <w:rFonts w:ascii="Times New Roman" w:cs="Times New Roman" w:eastAsia="Times New Roman" w:hAnsi="Times New Roman"/>
                <w:sz w:val="18"/>
                <w:szCs w:val="18"/>
                <w:color w:val="0000FF"/>
              </w:rPr>
            </w:pPr>
            <w:hyperlink r:id="rId749">
              <w:r>
                <w:rPr>
                  <w:rFonts w:ascii="Times New Roman" w:cs="Times New Roman" w:eastAsia="Times New Roman" w:hAnsi="Times New Roman"/>
                  <w:sz w:val="18"/>
                  <w:szCs w:val="18"/>
                  <w:color w:val="0000FF"/>
                </w:rPr>
                <w:t>Rules (U.K.)</w:t>
              </w:r>
            </w:hyperlink>
          </w:p>
        </w:tc>
        <w:tc>
          <w:tcPr>
            <w:tcW w:w="520" w:type="dxa"/>
            <w:vAlign w:val="bottom"/>
            <w:tcBorders>
              <w:top w:val="single" w:sz="8" w:color="CFF0FC"/>
            </w:tcBorders>
            <w:gridSpan w:val="10"/>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5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CFF0FC"/>
            </w:tcBorders>
            <w:shd w:val="clear" w:color="auto" w:fill="CFF0FC"/>
          </w:tcPr>
          <w:p>
            <w:pPr>
              <w:spacing w:after="0"/>
              <w:rPr>
                <w:sz w:val="17"/>
                <w:szCs w:val="17"/>
                <w:color w:val="auto"/>
              </w:rPr>
            </w:pPr>
          </w:p>
        </w:tc>
        <w:tc>
          <w:tcPr>
            <w:tcW w:w="1260" w:type="dxa"/>
            <w:vAlign w:val="bottom"/>
            <w:tcBorders>
              <w:top w:val="single" w:sz="8" w:color="CFF0FC"/>
            </w:tcBorders>
            <w:gridSpan w:val="2"/>
            <w:shd w:val="clear" w:color="auto" w:fill="CFF0FC"/>
          </w:tcPr>
          <w:p>
            <w:pPr>
              <w:ind w:left="120"/>
              <w:spacing w:after="0" w:line="195" w:lineRule="exact"/>
              <w:rPr>
                <w:sz w:val="20"/>
                <w:szCs w:val="20"/>
                <w:color w:val="auto"/>
              </w:rPr>
            </w:pPr>
            <w:r>
              <w:rPr>
                <w:rFonts w:ascii="Times New Roman" w:cs="Times New Roman" w:eastAsia="Times New Roman" w:hAnsi="Times New Roman"/>
                <w:sz w:val="18"/>
                <w:szCs w:val="18"/>
                <w:color w:val="auto"/>
              </w:rPr>
              <w:t>2012</w:t>
            </w:r>
          </w:p>
        </w:tc>
        <w:tc>
          <w:tcPr>
            <w:tcW w:w="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CFF0FC"/>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Borders>
              <w:right w:val="single" w:sz="8" w:color="CFF0FC"/>
            </w:tcBorders>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0000FF"/>
            </w:tcBorders>
            <w:shd w:val="clear" w:color="auto" w:fill="CFF0FC"/>
          </w:tcPr>
          <w:p>
            <w:pPr>
              <w:spacing w:after="0"/>
              <w:rPr>
                <w:sz w:val="2"/>
                <w:szCs w:val="2"/>
                <w:color w:val="auto"/>
              </w:rPr>
            </w:pPr>
          </w:p>
        </w:tc>
        <w:tc>
          <w:tcPr>
            <w:tcW w:w="360" w:type="dxa"/>
            <w:vAlign w:val="bottom"/>
            <w:tcBorders>
              <w:top w:val="single" w:sz="8" w:color="0000FF"/>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40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1300" w:type="dxa"/>
            <w:vAlign w:val="bottom"/>
            <w:tcBorders>
              <w:top w:val="single" w:sz="8" w:color="CFF0FC"/>
            </w:tcBorders>
            <w:shd w:val="clear" w:color="auto" w:fill="CFF0FC"/>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52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1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640" w:type="dxa"/>
            <w:vAlign w:val="bottom"/>
            <w:tcBorders>
              <w:top w:val="single" w:sz="8" w:color="CFF0FC"/>
              <w:right w:val="single" w:sz="8" w:color="CFF0FC"/>
            </w:tcBorders>
            <w:shd w:val="clear" w:color="auto" w:fill="CFF0FC"/>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7620" w:type="dxa"/>
            <w:vAlign w:val="bottom"/>
            <w:gridSpan w:val="30"/>
          </w:tcPr>
          <w:p>
            <w:pPr>
              <w:ind w:left="6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10.27†   </w:t>
            </w:r>
            <w:hyperlink r:id="rId750">
              <w:r>
                <w:rPr>
                  <w:rFonts w:ascii="Times New Roman" w:cs="Times New Roman" w:eastAsia="Times New Roman" w:hAnsi="Times New Roman"/>
                  <w:sz w:val="18"/>
                  <w:szCs w:val="18"/>
                  <w:color w:val="0000FF"/>
                </w:rPr>
                <w:t>Willis Towers Watson Non-Qualified Deferred Savings Plan for U.S. Employees (as</w:t>
              </w:r>
            </w:hyperlink>
          </w:p>
        </w:tc>
        <w:tc>
          <w:tcPr>
            <w:tcW w:w="20" w:type="dxa"/>
            <w:vAlign w:val="bottom"/>
          </w:tcPr>
          <w:p>
            <w:pPr>
              <w:spacing w:after="0"/>
              <w:rPr>
                <w:sz w:val="16"/>
                <w:szCs w:val="16"/>
                <w:color w:val="auto"/>
              </w:rPr>
            </w:pPr>
          </w:p>
        </w:tc>
        <w:tc>
          <w:tcPr>
            <w:tcW w:w="5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10-Q</w:t>
            </w:r>
          </w:p>
        </w:tc>
        <w:tc>
          <w:tcPr>
            <w:tcW w:w="560" w:type="dxa"/>
            <w:vAlign w:val="bottom"/>
            <w:gridSpan w:val="2"/>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280" w:type="dxa"/>
            <w:vAlign w:val="bottom"/>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auto"/>
              </w:rPr>
              <w:t>November 7,</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00" w:type="dxa"/>
            <w:vAlign w:val="bottom"/>
            <w:tcBorders>
              <w:top w:val="single" w:sz="8" w:color="0000FF"/>
            </w:tcBorders>
            <w:gridSpan w:val="14"/>
          </w:tcPr>
          <w:p>
            <w:pPr>
              <w:spacing w:after="0" w:line="195" w:lineRule="exact"/>
              <w:rPr>
                <w:rFonts w:ascii="Times New Roman" w:cs="Times New Roman" w:eastAsia="Times New Roman" w:hAnsi="Times New Roman"/>
                <w:sz w:val="18"/>
                <w:szCs w:val="18"/>
                <w:color w:val="0000FF"/>
              </w:rPr>
            </w:pPr>
            <w:hyperlink r:id="rId750">
              <w:r>
                <w:rPr>
                  <w:rFonts w:ascii="Times New Roman" w:cs="Times New Roman" w:eastAsia="Times New Roman" w:hAnsi="Times New Roman"/>
                  <w:sz w:val="18"/>
                  <w:szCs w:val="18"/>
                  <w:color w:val="0000FF"/>
                </w:rPr>
                <w:t>amended and restated effective January 1, 2017)</w:t>
              </w:r>
            </w:hyperlink>
          </w:p>
        </w:tc>
        <w:tc>
          <w:tcPr>
            <w:tcW w:w="74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gridSpan w:val="2"/>
          </w:tcPr>
          <w:p>
            <w:pPr>
              <w:ind w:left="120"/>
              <w:spacing w:after="0" w:line="195" w:lineRule="exact"/>
              <w:rPr>
                <w:sz w:val="20"/>
                <w:szCs w:val="20"/>
                <w:color w:val="auto"/>
              </w:rPr>
            </w:pPr>
            <w:r>
              <w:rPr>
                <w:rFonts w:ascii="Times New Roman" w:cs="Times New Roman" w:eastAsia="Times New Roman" w:hAnsi="Times New Roman"/>
                <w:sz w:val="18"/>
                <w:szCs w:val="18"/>
                <w:color w:val="auto"/>
              </w:rPr>
              <w:t>2016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Borders>
              <w:right w:val="single" w:sz="8" w:color="CFF0FC"/>
            </w:tcBorders>
          </w:tcPr>
          <w:p>
            <w:pPr>
              <w:spacing w:after="0"/>
              <w:rPr>
                <w:sz w:val="16"/>
                <w:szCs w:val="16"/>
                <w:color w:val="auto"/>
              </w:rPr>
            </w:pPr>
          </w:p>
        </w:tc>
        <w:tc>
          <w:tcPr>
            <w:tcW w:w="7620" w:type="dxa"/>
            <w:vAlign w:val="bottom"/>
            <w:gridSpan w:val="30"/>
            <w:shd w:val="clear" w:color="auto" w:fill="CFF0FC"/>
          </w:tcPr>
          <w:p>
            <w:pPr>
              <w:ind w:left="6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10.28†   </w:t>
            </w:r>
            <w:hyperlink r:id="rId751">
              <w:r>
                <w:rPr>
                  <w:rFonts w:ascii="Times New Roman" w:cs="Times New Roman" w:eastAsia="Times New Roman" w:hAnsi="Times New Roman"/>
                  <w:sz w:val="18"/>
                  <w:szCs w:val="18"/>
                  <w:color w:val="0000FF"/>
                </w:rPr>
                <w:t>Amendment 2018-1 to the Willis Towers Watson Non-Qualified Deferred Savings Plan for</w:t>
              </w:r>
            </w:hyperlink>
          </w:p>
        </w:tc>
        <w:tc>
          <w:tcPr>
            <w:tcW w:w="20" w:type="dxa"/>
            <w:vAlign w:val="bottom"/>
            <w:shd w:val="clear" w:color="auto" w:fill="CFF0FC"/>
          </w:tcPr>
          <w:p>
            <w:pPr>
              <w:spacing w:after="0"/>
              <w:rPr>
                <w:sz w:val="16"/>
                <w:szCs w:val="16"/>
                <w:color w:val="auto"/>
              </w:rPr>
            </w:pPr>
          </w:p>
        </w:tc>
        <w:tc>
          <w:tcPr>
            <w:tcW w:w="52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60" w:type="dxa"/>
            <w:vAlign w:val="bottom"/>
            <w:gridSpan w:val="2"/>
            <w:shd w:val="clear" w:color="auto" w:fill="CFF0FC"/>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rPr>
              <w:t>99.3</w:t>
            </w:r>
          </w:p>
        </w:tc>
        <w:tc>
          <w:tcPr>
            <w:tcW w:w="1280" w:type="dxa"/>
            <w:vAlign w:val="bottom"/>
            <w:gridSpan w:val="3"/>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July 18, 2018</w:t>
            </w:r>
          </w:p>
        </w:tc>
        <w:tc>
          <w:tcPr>
            <w:tcW w:w="120" w:type="dxa"/>
            <w:vAlign w:val="bottom"/>
            <w:shd w:val="clear" w:color="auto" w:fill="CFF0FC"/>
          </w:tcPr>
          <w:p>
            <w:pPr>
              <w:spacing w:after="0"/>
              <w:rPr>
                <w:sz w:val="16"/>
                <w:szCs w:val="16"/>
                <w:color w:val="auto"/>
              </w:rPr>
            </w:pPr>
          </w:p>
        </w:tc>
        <w:tc>
          <w:tcPr>
            <w:tcW w:w="640" w:type="dxa"/>
            <w:vAlign w:val="bottom"/>
            <w:tcBorders>
              <w:right w:val="single" w:sz="8" w:color="CFF0FC"/>
            </w:tcBorders>
            <w:shd w:val="clear" w:color="auto" w:fill="CFF0FC"/>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6580" w:type="dxa"/>
            <w:vAlign w:val="bottom"/>
            <w:tcBorders>
              <w:top w:val="single" w:sz="8" w:color="0000FF"/>
            </w:tcBorders>
            <w:gridSpan w:val="24"/>
            <w:shd w:val="clear" w:color="auto" w:fill="CFF0FC"/>
          </w:tcPr>
          <w:p>
            <w:pPr>
              <w:spacing w:after="0" w:line="195" w:lineRule="exact"/>
              <w:rPr>
                <w:rFonts w:ascii="Times New Roman" w:cs="Times New Roman" w:eastAsia="Times New Roman" w:hAnsi="Times New Roman"/>
                <w:sz w:val="18"/>
                <w:szCs w:val="18"/>
                <w:color w:val="0000FF"/>
              </w:rPr>
            </w:pPr>
            <w:hyperlink r:id="rId751">
              <w:r>
                <w:rPr>
                  <w:rFonts w:ascii="Times New Roman" w:cs="Times New Roman" w:eastAsia="Times New Roman" w:hAnsi="Times New Roman"/>
                  <w:sz w:val="18"/>
                  <w:szCs w:val="18"/>
                  <w:color w:val="0000FF"/>
                </w:rPr>
                <w:t>U.S. Employees</w:t>
              </w:r>
            </w:hyperlink>
          </w:p>
        </w:tc>
        <w:tc>
          <w:tcPr>
            <w:tcW w:w="260" w:type="dxa"/>
            <w:vAlign w:val="bottom"/>
            <w:tcBorders>
              <w:top w:val="single" w:sz="8" w:color="CFF0FC"/>
            </w:tcBorders>
            <w:gridSpan w:val="4"/>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5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CFF0FC"/>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Borders>
              <w:right w:val="single" w:sz="8" w:color="CFF0FC"/>
            </w:tcBorders>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0000FF"/>
            </w:tcBorders>
            <w:shd w:val="clear" w:color="auto" w:fill="CFF0FC"/>
          </w:tcPr>
          <w:p>
            <w:pPr>
              <w:spacing w:after="0"/>
              <w:rPr>
                <w:sz w:val="2"/>
                <w:szCs w:val="2"/>
                <w:color w:val="auto"/>
              </w:rPr>
            </w:pPr>
          </w:p>
        </w:tc>
        <w:tc>
          <w:tcPr>
            <w:tcW w:w="360" w:type="dxa"/>
            <w:vAlign w:val="bottom"/>
            <w:tcBorders>
              <w:top w:val="single" w:sz="8" w:color="0000FF"/>
            </w:tcBorders>
            <w:shd w:val="clear" w:color="auto" w:fill="CFF0FC"/>
          </w:tcPr>
          <w:p>
            <w:pPr>
              <w:spacing w:after="0"/>
              <w:rPr>
                <w:sz w:val="2"/>
                <w:szCs w:val="2"/>
                <w:color w:val="auto"/>
              </w:rPr>
            </w:pPr>
          </w:p>
        </w:tc>
        <w:tc>
          <w:tcPr>
            <w:tcW w:w="240" w:type="dxa"/>
            <w:vAlign w:val="bottom"/>
            <w:tcBorders>
              <w:top w:val="single" w:sz="8" w:color="0000FF"/>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40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1300" w:type="dxa"/>
            <w:vAlign w:val="bottom"/>
            <w:tcBorders>
              <w:top w:val="single" w:sz="8" w:color="CFF0FC"/>
            </w:tcBorders>
            <w:shd w:val="clear" w:color="auto" w:fill="CFF0FC"/>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52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1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640" w:type="dxa"/>
            <w:vAlign w:val="bottom"/>
            <w:tcBorders>
              <w:top w:val="single" w:sz="8" w:color="CFF0FC"/>
              <w:right w:val="single" w:sz="8" w:color="CFF0FC"/>
            </w:tcBorders>
            <w:shd w:val="clear" w:color="auto" w:fill="CFF0FC"/>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7620" w:type="dxa"/>
            <w:vAlign w:val="bottom"/>
            <w:gridSpan w:val="30"/>
          </w:tcPr>
          <w:p>
            <w:pPr>
              <w:ind w:left="6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10.29†   </w:t>
            </w:r>
            <w:hyperlink r:id="rId752">
              <w:r>
                <w:rPr>
                  <w:rFonts w:ascii="Times New Roman" w:cs="Times New Roman" w:eastAsia="Times New Roman" w:hAnsi="Times New Roman"/>
                  <w:sz w:val="18"/>
                  <w:szCs w:val="18"/>
                  <w:color w:val="0000FF"/>
                </w:rPr>
                <w:t>Amendment 2020-1 to the Willis Towers Watson Non-Qualified Deferred Savings Plan for</w:t>
              </w:r>
            </w:hyperlink>
          </w:p>
        </w:tc>
        <w:tc>
          <w:tcPr>
            <w:tcW w:w="20" w:type="dxa"/>
            <w:vAlign w:val="bottom"/>
          </w:tcPr>
          <w:p>
            <w:pPr>
              <w:spacing w:after="0"/>
              <w:rPr>
                <w:sz w:val="16"/>
                <w:szCs w:val="16"/>
                <w:color w:val="auto"/>
              </w:rPr>
            </w:pPr>
          </w:p>
        </w:tc>
        <w:tc>
          <w:tcPr>
            <w:tcW w:w="5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10-K</w:t>
            </w:r>
          </w:p>
        </w:tc>
        <w:tc>
          <w:tcPr>
            <w:tcW w:w="560" w:type="dxa"/>
            <w:vAlign w:val="bottom"/>
            <w:gridSpan w:val="2"/>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8"/>
              </w:rPr>
              <w:t>10.62</w:t>
            </w:r>
          </w:p>
        </w:tc>
        <w:tc>
          <w:tcPr>
            <w:tcW w:w="1280" w:type="dxa"/>
            <w:vAlign w:val="bottom"/>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auto"/>
              </w:rPr>
              <w:t>February 23,</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80" w:type="dxa"/>
            <w:vAlign w:val="bottom"/>
            <w:tcBorders>
              <w:top w:val="single" w:sz="8" w:color="0000FF"/>
            </w:tcBorders>
            <w:gridSpan w:val="24"/>
          </w:tcPr>
          <w:p>
            <w:pPr>
              <w:spacing w:after="0" w:line="195" w:lineRule="exact"/>
              <w:rPr>
                <w:rFonts w:ascii="Times New Roman" w:cs="Times New Roman" w:eastAsia="Times New Roman" w:hAnsi="Times New Roman"/>
                <w:sz w:val="18"/>
                <w:szCs w:val="18"/>
                <w:color w:val="0000FF"/>
              </w:rPr>
            </w:pPr>
            <w:hyperlink r:id="rId752">
              <w:r>
                <w:rPr>
                  <w:rFonts w:ascii="Times New Roman" w:cs="Times New Roman" w:eastAsia="Times New Roman" w:hAnsi="Times New Roman"/>
                  <w:sz w:val="18"/>
                  <w:szCs w:val="18"/>
                  <w:color w:val="0000FF"/>
                </w:rPr>
                <w:t>U.S. Employees</w:t>
              </w:r>
            </w:hyperlink>
          </w:p>
        </w:tc>
        <w:tc>
          <w:tcPr>
            <w:tcW w:w="26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gridSpan w:val="2"/>
          </w:tcPr>
          <w:p>
            <w:pPr>
              <w:ind w:left="120"/>
              <w:spacing w:after="0" w:line="195" w:lineRule="exact"/>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Borders>
              <w:right w:val="single" w:sz="8" w:color="CFF0FC"/>
            </w:tcBorders>
          </w:tcPr>
          <w:p>
            <w:pPr>
              <w:spacing w:after="0"/>
              <w:rPr>
                <w:sz w:val="16"/>
                <w:szCs w:val="16"/>
                <w:color w:val="auto"/>
              </w:rPr>
            </w:pPr>
          </w:p>
        </w:tc>
        <w:tc>
          <w:tcPr>
            <w:tcW w:w="7620" w:type="dxa"/>
            <w:vAlign w:val="bottom"/>
            <w:gridSpan w:val="30"/>
            <w:shd w:val="clear" w:color="auto" w:fill="CFF0FC"/>
          </w:tcPr>
          <w:p>
            <w:pPr>
              <w:ind w:left="6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10.30†   </w:t>
            </w:r>
            <w:hyperlink r:id="rId753">
              <w:r>
                <w:rPr>
                  <w:rFonts w:ascii="Times New Roman" w:cs="Times New Roman" w:eastAsia="Times New Roman" w:hAnsi="Times New Roman"/>
                  <w:sz w:val="18"/>
                  <w:szCs w:val="18"/>
                  <w:color w:val="0000FF"/>
                </w:rPr>
                <w:t>Willis Towers Watson Non-Qualified Stable Value Excess Plan for U.S. Employees</w:t>
              </w:r>
            </w:hyperlink>
          </w:p>
        </w:tc>
        <w:tc>
          <w:tcPr>
            <w:tcW w:w="20" w:type="dxa"/>
            <w:vAlign w:val="bottom"/>
            <w:shd w:val="clear" w:color="auto" w:fill="CFF0FC"/>
          </w:tcPr>
          <w:p>
            <w:pPr>
              <w:spacing w:after="0"/>
              <w:rPr>
                <w:sz w:val="16"/>
                <w:szCs w:val="16"/>
                <w:color w:val="auto"/>
              </w:rPr>
            </w:pPr>
          </w:p>
        </w:tc>
        <w:tc>
          <w:tcPr>
            <w:tcW w:w="52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10-Q</w:t>
            </w:r>
          </w:p>
        </w:tc>
        <w:tc>
          <w:tcPr>
            <w:tcW w:w="560" w:type="dxa"/>
            <w:vAlign w:val="bottom"/>
            <w:gridSpan w:val="2"/>
            <w:shd w:val="clear" w:color="auto" w:fill="CFF0FC"/>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1280" w:type="dxa"/>
            <w:vAlign w:val="bottom"/>
            <w:gridSpan w:val="3"/>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August 7, 2017</w:t>
            </w:r>
          </w:p>
        </w:tc>
        <w:tc>
          <w:tcPr>
            <w:tcW w:w="120" w:type="dxa"/>
            <w:vAlign w:val="bottom"/>
            <w:shd w:val="clear" w:color="auto" w:fill="CFF0FC"/>
          </w:tcPr>
          <w:p>
            <w:pPr>
              <w:spacing w:after="0"/>
              <w:rPr>
                <w:sz w:val="16"/>
                <w:szCs w:val="16"/>
                <w:color w:val="auto"/>
              </w:rPr>
            </w:pPr>
          </w:p>
        </w:tc>
        <w:tc>
          <w:tcPr>
            <w:tcW w:w="640" w:type="dxa"/>
            <w:vAlign w:val="bottom"/>
            <w:tcBorders>
              <w:right w:val="single" w:sz="8" w:color="CFF0FC"/>
            </w:tcBorders>
            <w:shd w:val="clear" w:color="auto" w:fill="CFF0FC"/>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0" w:type="dxa"/>
            <w:vAlign w:val="bottom"/>
            <w:tcBorders>
              <w:right w:val="single" w:sz="8" w:color="CFF0FC"/>
            </w:tcBorders>
          </w:tcPr>
          <w:p>
            <w:pPr>
              <w:spacing w:after="0"/>
              <w:rPr>
                <w:sz w:val="21"/>
                <w:szCs w:val="21"/>
                <w:color w:val="auto"/>
              </w:rPr>
            </w:pPr>
          </w:p>
        </w:tc>
        <w:tc>
          <w:tcPr>
            <w:tcW w:w="640" w:type="dxa"/>
            <w:vAlign w:val="bottom"/>
            <w:tcBorders>
              <w:top w:val="single" w:sz="8" w:color="CFF0FC"/>
            </w:tcBorders>
            <w:shd w:val="clear" w:color="auto" w:fill="CFF0FC"/>
          </w:tcPr>
          <w:p>
            <w:pPr>
              <w:spacing w:after="0"/>
              <w:rPr>
                <w:sz w:val="21"/>
                <w:szCs w:val="21"/>
                <w:color w:val="auto"/>
              </w:rPr>
            </w:pPr>
          </w:p>
        </w:tc>
        <w:tc>
          <w:tcPr>
            <w:tcW w:w="140" w:type="dxa"/>
            <w:vAlign w:val="bottom"/>
            <w:tcBorders>
              <w:top w:val="single" w:sz="8" w:color="CFF0FC"/>
            </w:tcBorders>
            <w:shd w:val="clear" w:color="auto" w:fill="CFF0FC"/>
          </w:tcPr>
          <w:p>
            <w:pPr>
              <w:spacing w:after="0"/>
              <w:rPr>
                <w:sz w:val="21"/>
                <w:szCs w:val="21"/>
                <w:color w:val="auto"/>
              </w:rPr>
            </w:pPr>
          </w:p>
        </w:tc>
        <w:tc>
          <w:tcPr>
            <w:tcW w:w="560" w:type="dxa"/>
            <w:vAlign w:val="bottom"/>
            <w:tcBorders>
              <w:top w:val="single" w:sz="8" w:color="0000FF"/>
            </w:tcBorders>
            <w:shd w:val="clear" w:color="auto" w:fill="CFF0FC"/>
          </w:tcPr>
          <w:p>
            <w:pPr>
              <w:spacing w:after="0"/>
              <w:rPr>
                <w:sz w:val="21"/>
                <w:szCs w:val="21"/>
                <w:color w:val="auto"/>
              </w:rPr>
            </w:pPr>
          </w:p>
        </w:tc>
        <w:tc>
          <w:tcPr>
            <w:tcW w:w="360" w:type="dxa"/>
            <w:vAlign w:val="bottom"/>
            <w:tcBorders>
              <w:top w:val="single" w:sz="8" w:color="0000FF"/>
            </w:tcBorders>
            <w:shd w:val="clear" w:color="auto" w:fill="CFF0FC"/>
          </w:tcPr>
          <w:p>
            <w:pPr>
              <w:spacing w:after="0"/>
              <w:rPr>
                <w:sz w:val="21"/>
                <w:szCs w:val="21"/>
                <w:color w:val="auto"/>
              </w:rPr>
            </w:pPr>
          </w:p>
        </w:tc>
        <w:tc>
          <w:tcPr>
            <w:tcW w:w="240" w:type="dxa"/>
            <w:vAlign w:val="bottom"/>
            <w:tcBorders>
              <w:top w:val="single" w:sz="8" w:color="0000FF"/>
            </w:tcBorders>
            <w:shd w:val="clear" w:color="auto" w:fill="CFF0FC"/>
          </w:tcPr>
          <w:p>
            <w:pPr>
              <w:spacing w:after="0"/>
              <w:rPr>
                <w:sz w:val="21"/>
                <w:szCs w:val="21"/>
                <w:color w:val="auto"/>
              </w:rPr>
            </w:pPr>
          </w:p>
        </w:tc>
        <w:tc>
          <w:tcPr>
            <w:tcW w:w="260" w:type="dxa"/>
            <w:vAlign w:val="bottom"/>
            <w:tcBorders>
              <w:top w:val="single" w:sz="8" w:color="0000FF"/>
            </w:tcBorders>
            <w:shd w:val="clear" w:color="auto" w:fill="CFF0FC"/>
          </w:tcPr>
          <w:p>
            <w:pPr>
              <w:spacing w:after="0"/>
              <w:rPr>
                <w:sz w:val="21"/>
                <w:szCs w:val="21"/>
                <w:color w:val="auto"/>
              </w:rPr>
            </w:pPr>
          </w:p>
        </w:tc>
        <w:tc>
          <w:tcPr>
            <w:tcW w:w="140" w:type="dxa"/>
            <w:vAlign w:val="bottom"/>
            <w:tcBorders>
              <w:top w:val="single" w:sz="8" w:color="0000FF"/>
            </w:tcBorders>
            <w:shd w:val="clear" w:color="auto" w:fill="CFF0FC"/>
          </w:tcPr>
          <w:p>
            <w:pPr>
              <w:spacing w:after="0"/>
              <w:rPr>
                <w:sz w:val="21"/>
                <w:szCs w:val="21"/>
                <w:color w:val="auto"/>
              </w:rPr>
            </w:pPr>
          </w:p>
        </w:tc>
        <w:tc>
          <w:tcPr>
            <w:tcW w:w="400" w:type="dxa"/>
            <w:vAlign w:val="bottom"/>
            <w:tcBorders>
              <w:top w:val="single" w:sz="8" w:color="0000FF"/>
            </w:tcBorders>
            <w:shd w:val="clear" w:color="auto" w:fill="CFF0FC"/>
          </w:tcPr>
          <w:p>
            <w:pPr>
              <w:spacing w:after="0"/>
              <w:rPr>
                <w:sz w:val="21"/>
                <w:szCs w:val="21"/>
                <w:color w:val="auto"/>
              </w:rPr>
            </w:pPr>
          </w:p>
        </w:tc>
        <w:tc>
          <w:tcPr>
            <w:tcW w:w="220" w:type="dxa"/>
            <w:vAlign w:val="bottom"/>
            <w:tcBorders>
              <w:top w:val="single" w:sz="8" w:color="0000FF"/>
            </w:tcBorders>
            <w:shd w:val="clear" w:color="auto" w:fill="CFF0FC"/>
          </w:tcPr>
          <w:p>
            <w:pPr>
              <w:spacing w:after="0"/>
              <w:rPr>
                <w:sz w:val="21"/>
                <w:szCs w:val="21"/>
                <w:color w:val="auto"/>
              </w:rPr>
            </w:pPr>
          </w:p>
        </w:tc>
        <w:tc>
          <w:tcPr>
            <w:tcW w:w="1300" w:type="dxa"/>
            <w:vAlign w:val="bottom"/>
            <w:tcBorders>
              <w:top w:val="single" w:sz="8" w:color="0000FF"/>
            </w:tcBorders>
            <w:shd w:val="clear" w:color="auto" w:fill="CFF0FC"/>
          </w:tcPr>
          <w:p>
            <w:pPr>
              <w:spacing w:after="0"/>
              <w:rPr>
                <w:sz w:val="21"/>
                <w:szCs w:val="21"/>
                <w:color w:val="auto"/>
              </w:rPr>
            </w:pPr>
          </w:p>
        </w:tc>
        <w:tc>
          <w:tcPr>
            <w:tcW w:w="640" w:type="dxa"/>
            <w:vAlign w:val="bottom"/>
            <w:tcBorders>
              <w:top w:val="single" w:sz="8" w:color="0000FF"/>
            </w:tcBorders>
            <w:shd w:val="clear" w:color="auto" w:fill="CFF0FC"/>
          </w:tcPr>
          <w:p>
            <w:pPr>
              <w:spacing w:after="0"/>
              <w:rPr>
                <w:sz w:val="21"/>
                <w:szCs w:val="21"/>
                <w:color w:val="auto"/>
              </w:rPr>
            </w:pPr>
          </w:p>
        </w:tc>
        <w:tc>
          <w:tcPr>
            <w:tcW w:w="1040" w:type="dxa"/>
            <w:vAlign w:val="bottom"/>
            <w:tcBorders>
              <w:top w:val="single" w:sz="8" w:color="0000FF"/>
            </w:tcBorders>
            <w:shd w:val="clear" w:color="auto" w:fill="CFF0FC"/>
          </w:tcPr>
          <w:p>
            <w:pPr>
              <w:spacing w:after="0"/>
              <w:rPr>
                <w:sz w:val="21"/>
                <w:szCs w:val="21"/>
                <w:color w:val="auto"/>
              </w:rPr>
            </w:pPr>
          </w:p>
        </w:tc>
        <w:tc>
          <w:tcPr>
            <w:tcW w:w="560" w:type="dxa"/>
            <w:vAlign w:val="bottom"/>
            <w:tcBorders>
              <w:top w:val="single" w:sz="8" w:color="0000FF"/>
            </w:tcBorders>
            <w:shd w:val="clear" w:color="auto" w:fill="CFF0FC"/>
          </w:tcPr>
          <w:p>
            <w:pPr>
              <w:spacing w:after="0"/>
              <w:rPr>
                <w:sz w:val="21"/>
                <w:szCs w:val="21"/>
                <w:color w:val="auto"/>
              </w:rPr>
            </w:pPr>
          </w:p>
        </w:tc>
        <w:tc>
          <w:tcPr>
            <w:tcW w:w="280" w:type="dxa"/>
            <w:vAlign w:val="bottom"/>
            <w:tcBorders>
              <w:top w:val="single" w:sz="8" w:color="0000FF"/>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80" w:type="dxa"/>
            <w:vAlign w:val="bottom"/>
            <w:tcBorders>
              <w:top w:val="single" w:sz="8" w:color="CFF0FC"/>
            </w:tcBorders>
            <w:shd w:val="clear" w:color="auto" w:fill="CFF0FC"/>
          </w:tcPr>
          <w:p>
            <w:pPr>
              <w:spacing w:after="0"/>
              <w:rPr>
                <w:sz w:val="21"/>
                <w:szCs w:val="21"/>
                <w:color w:val="auto"/>
              </w:rPr>
            </w:pPr>
          </w:p>
        </w:tc>
        <w:tc>
          <w:tcPr>
            <w:tcW w:w="12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60" w:type="dxa"/>
            <w:vAlign w:val="bottom"/>
            <w:tcBorders>
              <w:top w:val="single" w:sz="8" w:color="CFF0FC"/>
            </w:tcBorders>
            <w:shd w:val="clear" w:color="auto" w:fill="CFF0FC"/>
          </w:tcPr>
          <w:p>
            <w:pPr>
              <w:spacing w:after="0"/>
              <w:rPr>
                <w:sz w:val="21"/>
                <w:szCs w:val="21"/>
                <w:color w:val="auto"/>
              </w:rPr>
            </w:pPr>
          </w:p>
        </w:tc>
        <w:tc>
          <w:tcPr>
            <w:tcW w:w="14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4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80" w:type="dxa"/>
            <w:vAlign w:val="bottom"/>
            <w:tcBorders>
              <w:top w:val="single" w:sz="8" w:color="CFF0FC"/>
            </w:tcBorders>
            <w:shd w:val="clear" w:color="auto" w:fill="CFF0FC"/>
          </w:tcPr>
          <w:p>
            <w:pPr>
              <w:spacing w:after="0"/>
              <w:rPr>
                <w:sz w:val="21"/>
                <w:szCs w:val="21"/>
                <w:color w:val="auto"/>
              </w:rPr>
            </w:pPr>
          </w:p>
        </w:tc>
        <w:tc>
          <w:tcPr>
            <w:tcW w:w="4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12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520" w:type="dxa"/>
            <w:vAlign w:val="bottom"/>
            <w:tcBorders>
              <w:top w:val="single" w:sz="8" w:color="CFF0FC"/>
            </w:tcBorders>
            <w:shd w:val="clear" w:color="auto" w:fill="CFF0FC"/>
          </w:tcPr>
          <w:p>
            <w:pPr>
              <w:spacing w:after="0"/>
              <w:rPr>
                <w:sz w:val="21"/>
                <w:szCs w:val="21"/>
                <w:color w:val="auto"/>
              </w:rPr>
            </w:pPr>
          </w:p>
        </w:tc>
        <w:tc>
          <w:tcPr>
            <w:tcW w:w="140" w:type="dxa"/>
            <w:vAlign w:val="bottom"/>
            <w:tcBorders>
              <w:top w:val="single" w:sz="8" w:color="CFF0FC"/>
            </w:tcBorders>
            <w:shd w:val="clear" w:color="auto" w:fill="CFF0FC"/>
          </w:tcPr>
          <w:p>
            <w:pPr>
              <w:spacing w:after="0"/>
              <w:rPr>
                <w:sz w:val="21"/>
                <w:szCs w:val="21"/>
                <w:color w:val="auto"/>
              </w:rPr>
            </w:pPr>
          </w:p>
        </w:tc>
        <w:tc>
          <w:tcPr>
            <w:tcW w:w="420" w:type="dxa"/>
            <w:vAlign w:val="bottom"/>
            <w:tcBorders>
              <w:top w:val="single" w:sz="8" w:color="CFF0FC"/>
            </w:tcBorders>
            <w:shd w:val="clear" w:color="auto" w:fill="CFF0FC"/>
          </w:tcPr>
          <w:p>
            <w:pPr>
              <w:spacing w:after="0"/>
              <w:rPr>
                <w:sz w:val="21"/>
                <w:szCs w:val="21"/>
                <w:color w:val="auto"/>
              </w:rPr>
            </w:pPr>
          </w:p>
        </w:tc>
        <w:tc>
          <w:tcPr>
            <w:tcW w:w="120" w:type="dxa"/>
            <w:vAlign w:val="bottom"/>
            <w:tcBorders>
              <w:top w:val="single" w:sz="8" w:color="CFF0FC"/>
            </w:tcBorders>
            <w:shd w:val="clear" w:color="auto" w:fill="CFF0FC"/>
          </w:tcPr>
          <w:p>
            <w:pPr>
              <w:spacing w:after="0"/>
              <w:rPr>
                <w:sz w:val="21"/>
                <w:szCs w:val="21"/>
                <w:color w:val="auto"/>
              </w:rPr>
            </w:pPr>
          </w:p>
        </w:tc>
        <w:tc>
          <w:tcPr>
            <w:tcW w:w="114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120" w:type="dxa"/>
            <w:vAlign w:val="bottom"/>
            <w:tcBorders>
              <w:top w:val="single" w:sz="8" w:color="CFF0FC"/>
            </w:tcBorders>
            <w:shd w:val="clear" w:color="auto" w:fill="CFF0FC"/>
          </w:tcPr>
          <w:p>
            <w:pPr>
              <w:spacing w:after="0"/>
              <w:rPr>
                <w:sz w:val="21"/>
                <w:szCs w:val="21"/>
                <w:color w:val="auto"/>
              </w:rPr>
            </w:pPr>
          </w:p>
        </w:tc>
        <w:tc>
          <w:tcPr>
            <w:tcW w:w="640" w:type="dxa"/>
            <w:vAlign w:val="bottom"/>
            <w:tcBorders>
              <w:top w:val="single" w:sz="8" w:color="CFF0FC"/>
              <w:right w:val="single" w:sz="8" w:color="CFF0FC"/>
            </w:tcBorders>
            <w:shd w:val="clear" w:color="auto" w:fill="CFF0FC"/>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7620" w:type="dxa"/>
            <w:vAlign w:val="bottom"/>
            <w:gridSpan w:val="30"/>
          </w:tcPr>
          <w:p>
            <w:pPr>
              <w:ind w:left="6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10.31†   </w:t>
            </w:r>
            <w:hyperlink r:id="rId754">
              <w:r>
                <w:rPr>
                  <w:rFonts w:ascii="Times New Roman" w:cs="Times New Roman" w:eastAsia="Times New Roman" w:hAnsi="Times New Roman"/>
                  <w:sz w:val="18"/>
                  <w:szCs w:val="18"/>
                  <w:color w:val="0000FF"/>
                </w:rPr>
                <w:t>Amendment 2017-1 to the Willis Towers Watson Non-Qualified Stable Value Excess Plan</w:t>
              </w:r>
            </w:hyperlink>
          </w:p>
        </w:tc>
        <w:tc>
          <w:tcPr>
            <w:tcW w:w="20" w:type="dxa"/>
            <w:vAlign w:val="bottom"/>
          </w:tcPr>
          <w:p>
            <w:pPr>
              <w:spacing w:after="0"/>
              <w:rPr>
                <w:sz w:val="16"/>
                <w:szCs w:val="16"/>
                <w:color w:val="auto"/>
              </w:rPr>
            </w:pPr>
          </w:p>
        </w:tc>
        <w:tc>
          <w:tcPr>
            <w:tcW w:w="5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10-Q</w:t>
            </w:r>
          </w:p>
        </w:tc>
        <w:tc>
          <w:tcPr>
            <w:tcW w:w="560" w:type="dxa"/>
            <w:vAlign w:val="bottom"/>
            <w:gridSpan w:val="2"/>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1280" w:type="dxa"/>
            <w:vAlign w:val="bottom"/>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auto"/>
              </w:rPr>
              <w:t>August 6, 2018</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20" w:type="dxa"/>
            <w:vAlign w:val="bottom"/>
            <w:tcBorders>
              <w:top w:val="single" w:sz="8" w:color="0000FF"/>
            </w:tcBorders>
            <w:gridSpan w:val="22"/>
          </w:tcPr>
          <w:p>
            <w:pPr>
              <w:spacing w:after="0" w:line="195" w:lineRule="exact"/>
              <w:rPr>
                <w:rFonts w:ascii="Times New Roman" w:cs="Times New Roman" w:eastAsia="Times New Roman" w:hAnsi="Times New Roman"/>
                <w:sz w:val="18"/>
                <w:szCs w:val="18"/>
                <w:color w:val="0000FF"/>
              </w:rPr>
            </w:pPr>
            <w:hyperlink r:id="rId754">
              <w:r>
                <w:rPr>
                  <w:rFonts w:ascii="Times New Roman" w:cs="Times New Roman" w:eastAsia="Times New Roman" w:hAnsi="Times New Roman"/>
                  <w:sz w:val="18"/>
                  <w:szCs w:val="18"/>
                  <w:color w:val="0000FF"/>
                </w:rPr>
                <w:t>for U.S. Employees</w:t>
              </w:r>
            </w:hyperlink>
          </w:p>
        </w:tc>
        <w:tc>
          <w:tcPr>
            <w:tcW w:w="32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Borders>
              <w:right w:val="single" w:sz="8" w:color="CFF0FC"/>
            </w:tcBorders>
          </w:tcPr>
          <w:p>
            <w:pPr>
              <w:spacing w:after="0"/>
              <w:rPr>
                <w:sz w:val="16"/>
                <w:szCs w:val="16"/>
                <w:color w:val="auto"/>
              </w:rPr>
            </w:pPr>
          </w:p>
        </w:tc>
        <w:tc>
          <w:tcPr>
            <w:tcW w:w="7620" w:type="dxa"/>
            <w:vAlign w:val="bottom"/>
            <w:gridSpan w:val="30"/>
            <w:shd w:val="clear" w:color="auto" w:fill="CFF0FC"/>
          </w:tcPr>
          <w:p>
            <w:pPr>
              <w:ind w:left="6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10.32†   </w:t>
            </w:r>
            <w:hyperlink r:id="rId755">
              <w:r>
                <w:rPr>
                  <w:rFonts w:ascii="Times New Roman" w:cs="Times New Roman" w:eastAsia="Times New Roman" w:hAnsi="Times New Roman"/>
                  <w:sz w:val="18"/>
                  <w:szCs w:val="18"/>
                  <w:color w:val="0000FF"/>
                </w:rPr>
                <w:t>Amendment 2020-1 to the Willis Towers Watson Non-Qualified Stable Value Excess Plan</w:t>
              </w:r>
            </w:hyperlink>
          </w:p>
        </w:tc>
        <w:tc>
          <w:tcPr>
            <w:tcW w:w="20" w:type="dxa"/>
            <w:vAlign w:val="bottom"/>
            <w:shd w:val="clear" w:color="auto" w:fill="CFF0FC"/>
          </w:tcPr>
          <w:p>
            <w:pPr>
              <w:spacing w:after="0"/>
              <w:rPr>
                <w:sz w:val="16"/>
                <w:szCs w:val="16"/>
                <w:color w:val="auto"/>
              </w:rPr>
            </w:pPr>
          </w:p>
        </w:tc>
        <w:tc>
          <w:tcPr>
            <w:tcW w:w="52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10-K</w:t>
            </w:r>
          </w:p>
        </w:tc>
        <w:tc>
          <w:tcPr>
            <w:tcW w:w="560" w:type="dxa"/>
            <w:vAlign w:val="bottom"/>
            <w:gridSpan w:val="2"/>
            <w:shd w:val="clear" w:color="auto" w:fill="CFF0FC"/>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8"/>
              </w:rPr>
              <w:t>10.63</w:t>
            </w:r>
          </w:p>
        </w:tc>
        <w:tc>
          <w:tcPr>
            <w:tcW w:w="1280" w:type="dxa"/>
            <w:vAlign w:val="bottom"/>
            <w:gridSpan w:val="3"/>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February 23,</w:t>
            </w:r>
          </w:p>
        </w:tc>
        <w:tc>
          <w:tcPr>
            <w:tcW w:w="120" w:type="dxa"/>
            <w:vAlign w:val="bottom"/>
            <w:shd w:val="clear" w:color="auto" w:fill="CFF0FC"/>
          </w:tcPr>
          <w:p>
            <w:pPr>
              <w:spacing w:after="0"/>
              <w:rPr>
                <w:sz w:val="16"/>
                <w:szCs w:val="16"/>
                <w:color w:val="auto"/>
              </w:rPr>
            </w:pPr>
          </w:p>
        </w:tc>
        <w:tc>
          <w:tcPr>
            <w:tcW w:w="640" w:type="dxa"/>
            <w:vAlign w:val="bottom"/>
            <w:tcBorders>
              <w:right w:val="single" w:sz="8" w:color="CFF0FC"/>
            </w:tcBorders>
            <w:shd w:val="clear" w:color="auto" w:fill="CFF0FC"/>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6520" w:type="dxa"/>
            <w:vAlign w:val="bottom"/>
            <w:tcBorders>
              <w:top w:val="single" w:sz="8" w:color="0000FF"/>
            </w:tcBorders>
            <w:gridSpan w:val="22"/>
            <w:shd w:val="clear" w:color="auto" w:fill="CFF0FC"/>
          </w:tcPr>
          <w:p>
            <w:pPr>
              <w:spacing w:after="0" w:line="195" w:lineRule="exact"/>
              <w:rPr>
                <w:rFonts w:ascii="Times New Roman" w:cs="Times New Roman" w:eastAsia="Times New Roman" w:hAnsi="Times New Roman"/>
                <w:sz w:val="18"/>
                <w:szCs w:val="18"/>
                <w:color w:val="0000FF"/>
              </w:rPr>
            </w:pPr>
            <w:hyperlink r:id="rId755">
              <w:r>
                <w:rPr>
                  <w:rFonts w:ascii="Times New Roman" w:cs="Times New Roman" w:eastAsia="Times New Roman" w:hAnsi="Times New Roman"/>
                  <w:sz w:val="18"/>
                  <w:szCs w:val="18"/>
                  <w:color w:val="0000FF"/>
                </w:rPr>
                <w:t>for U.S. Employees</w:t>
              </w:r>
            </w:hyperlink>
          </w:p>
        </w:tc>
        <w:tc>
          <w:tcPr>
            <w:tcW w:w="320" w:type="dxa"/>
            <w:vAlign w:val="bottom"/>
            <w:tcBorders>
              <w:top w:val="single" w:sz="8" w:color="CFF0FC"/>
            </w:tcBorders>
            <w:gridSpan w:val="6"/>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5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CFF0FC"/>
            </w:tcBorders>
            <w:shd w:val="clear" w:color="auto" w:fill="CFF0FC"/>
          </w:tcPr>
          <w:p>
            <w:pPr>
              <w:spacing w:after="0"/>
              <w:rPr>
                <w:sz w:val="17"/>
                <w:szCs w:val="17"/>
                <w:color w:val="auto"/>
              </w:rPr>
            </w:pPr>
          </w:p>
        </w:tc>
        <w:tc>
          <w:tcPr>
            <w:tcW w:w="1260" w:type="dxa"/>
            <w:vAlign w:val="bottom"/>
            <w:tcBorders>
              <w:top w:val="single" w:sz="8" w:color="CFF0FC"/>
            </w:tcBorders>
            <w:gridSpan w:val="2"/>
            <w:shd w:val="clear" w:color="auto" w:fill="CFF0FC"/>
          </w:tcPr>
          <w:p>
            <w:pPr>
              <w:ind w:left="120"/>
              <w:spacing w:after="0" w:line="195" w:lineRule="exact"/>
              <w:rPr>
                <w:sz w:val="20"/>
                <w:szCs w:val="20"/>
                <w:color w:val="auto"/>
              </w:rPr>
            </w:pPr>
            <w:r>
              <w:rPr>
                <w:rFonts w:ascii="Times New Roman" w:cs="Times New Roman" w:eastAsia="Times New Roman" w:hAnsi="Times New Roman"/>
                <w:sz w:val="18"/>
                <w:szCs w:val="18"/>
                <w:color w:val="auto"/>
              </w:rPr>
              <w:t>2021</w:t>
            </w:r>
          </w:p>
        </w:tc>
        <w:tc>
          <w:tcPr>
            <w:tcW w:w="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CFF0FC"/>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Borders>
              <w:right w:val="single" w:sz="8" w:color="CFF0FC"/>
            </w:tcBorders>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0000FF"/>
            </w:tcBorders>
            <w:shd w:val="clear" w:color="auto" w:fill="CFF0FC"/>
          </w:tcPr>
          <w:p>
            <w:pPr>
              <w:spacing w:after="0"/>
              <w:rPr>
                <w:sz w:val="2"/>
                <w:szCs w:val="2"/>
                <w:color w:val="auto"/>
              </w:rPr>
            </w:pPr>
          </w:p>
        </w:tc>
        <w:tc>
          <w:tcPr>
            <w:tcW w:w="360" w:type="dxa"/>
            <w:vAlign w:val="bottom"/>
            <w:tcBorders>
              <w:top w:val="single" w:sz="8" w:color="0000FF"/>
            </w:tcBorders>
            <w:shd w:val="clear" w:color="auto" w:fill="CFF0FC"/>
          </w:tcPr>
          <w:p>
            <w:pPr>
              <w:spacing w:after="0"/>
              <w:rPr>
                <w:sz w:val="2"/>
                <w:szCs w:val="2"/>
                <w:color w:val="auto"/>
              </w:rPr>
            </w:pPr>
          </w:p>
        </w:tc>
        <w:tc>
          <w:tcPr>
            <w:tcW w:w="240" w:type="dxa"/>
            <w:vAlign w:val="bottom"/>
            <w:tcBorders>
              <w:top w:val="single" w:sz="8" w:color="0000FF"/>
            </w:tcBorders>
            <w:shd w:val="clear" w:color="auto" w:fill="CFF0FC"/>
          </w:tcPr>
          <w:p>
            <w:pPr>
              <w:spacing w:after="0"/>
              <w:rPr>
                <w:sz w:val="2"/>
                <w:szCs w:val="2"/>
                <w:color w:val="auto"/>
              </w:rPr>
            </w:pPr>
          </w:p>
        </w:tc>
        <w:tc>
          <w:tcPr>
            <w:tcW w:w="26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40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1300" w:type="dxa"/>
            <w:vAlign w:val="bottom"/>
            <w:tcBorders>
              <w:top w:val="single" w:sz="8" w:color="CFF0FC"/>
            </w:tcBorders>
            <w:shd w:val="clear" w:color="auto" w:fill="CFF0FC"/>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52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1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640" w:type="dxa"/>
            <w:vAlign w:val="bottom"/>
            <w:tcBorders>
              <w:top w:val="single" w:sz="8" w:color="CFF0FC"/>
              <w:right w:val="single" w:sz="8" w:color="CFF0FC"/>
            </w:tcBorders>
            <w:shd w:val="clear" w:color="auto" w:fill="CFF0FC"/>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7620" w:type="dxa"/>
            <w:vAlign w:val="bottom"/>
            <w:gridSpan w:val="30"/>
          </w:tcPr>
          <w:p>
            <w:pPr>
              <w:ind w:left="6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10.33†   </w:t>
            </w:r>
            <w:hyperlink r:id="rId756">
              <w:r>
                <w:rPr>
                  <w:rFonts w:ascii="Times New Roman" w:cs="Times New Roman" w:eastAsia="Times New Roman" w:hAnsi="Times New Roman"/>
                  <w:sz w:val="18"/>
                  <w:szCs w:val="18"/>
                  <w:color w:val="0000FF"/>
                </w:rPr>
                <w:t>Willis Towers Watson Public Limited Company Compensation Recoupment Policy</w:t>
              </w:r>
            </w:hyperlink>
          </w:p>
        </w:tc>
        <w:tc>
          <w:tcPr>
            <w:tcW w:w="20" w:type="dxa"/>
            <w:vAlign w:val="bottom"/>
          </w:tcPr>
          <w:p>
            <w:pPr>
              <w:spacing w:after="0"/>
              <w:rPr>
                <w:sz w:val="16"/>
                <w:szCs w:val="16"/>
                <w:color w:val="auto"/>
              </w:rPr>
            </w:pPr>
          </w:p>
        </w:tc>
        <w:tc>
          <w:tcPr>
            <w:tcW w:w="5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10-K</w:t>
            </w:r>
          </w:p>
        </w:tc>
        <w:tc>
          <w:tcPr>
            <w:tcW w:w="560" w:type="dxa"/>
            <w:vAlign w:val="bottom"/>
            <w:gridSpan w:val="2"/>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8"/>
              </w:rPr>
              <w:t>10.68</w:t>
            </w:r>
          </w:p>
        </w:tc>
        <w:tc>
          <w:tcPr>
            <w:tcW w:w="1280" w:type="dxa"/>
            <w:vAlign w:val="bottom"/>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auto"/>
              </w:rPr>
              <w:t>February 28,</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1300" w:type="dxa"/>
            <w:vAlign w:val="bottom"/>
            <w:tcBorders>
              <w:top w:val="single" w:sz="8" w:color="0000FF"/>
            </w:tcBorders>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1040" w:type="dxa"/>
            <w:vAlign w:val="bottom"/>
            <w:tcBorders>
              <w:top w:val="single" w:sz="8" w:color="0000FF"/>
            </w:tcBorders>
          </w:tcPr>
          <w:p>
            <w:pPr>
              <w:spacing w:after="0"/>
              <w:rPr>
                <w:sz w:val="21"/>
                <w:szCs w:val="21"/>
                <w:color w:val="auto"/>
              </w:rPr>
            </w:pPr>
          </w:p>
        </w:tc>
        <w:tc>
          <w:tcPr>
            <w:tcW w:w="56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2018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60" w:type="dxa"/>
            <w:vAlign w:val="bottom"/>
            <w:tcBorders>
              <w:right w:val="single" w:sz="8" w:color="CFF0FC"/>
            </w:tcBorders>
          </w:tcPr>
          <w:p>
            <w:pPr>
              <w:spacing w:after="0"/>
              <w:rPr>
                <w:sz w:val="17"/>
                <w:szCs w:val="17"/>
                <w:color w:val="auto"/>
              </w:rPr>
            </w:pPr>
          </w:p>
        </w:tc>
        <w:tc>
          <w:tcPr>
            <w:tcW w:w="7620" w:type="dxa"/>
            <w:vAlign w:val="bottom"/>
            <w:gridSpan w:val="30"/>
            <w:shd w:val="clear" w:color="auto" w:fill="CFF0FC"/>
          </w:tcPr>
          <w:p>
            <w:pPr>
              <w:ind w:left="60"/>
              <w:spacing w:after="0" w:line="195"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10.34†   </w:t>
            </w:r>
            <w:hyperlink r:id="rId757">
              <w:r>
                <w:rPr>
                  <w:rFonts w:ascii="Times New Roman" w:cs="Times New Roman" w:eastAsia="Times New Roman" w:hAnsi="Times New Roman"/>
                  <w:sz w:val="18"/>
                  <w:szCs w:val="18"/>
                  <w:color w:val="0000FF"/>
                </w:rPr>
                <w:t>Form of 2021 Performance-Based Restricted Share Unit Award Agreement, including the</w:t>
              </w:r>
            </w:hyperlink>
          </w:p>
        </w:tc>
        <w:tc>
          <w:tcPr>
            <w:tcW w:w="20" w:type="dxa"/>
            <w:vAlign w:val="bottom"/>
            <w:shd w:val="clear" w:color="auto" w:fill="CFF0FC"/>
          </w:tcPr>
          <w:p>
            <w:pPr>
              <w:spacing w:after="0"/>
              <w:rPr>
                <w:sz w:val="17"/>
                <w:szCs w:val="17"/>
                <w:color w:val="auto"/>
              </w:rPr>
            </w:pPr>
          </w:p>
        </w:tc>
        <w:tc>
          <w:tcPr>
            <w:tcW w:w="520" w:type="dxa"/>
            <w:vAlign w:val="bottom"/>
            <w:shd w:val="clear" w:color="auto" w:fill="CFF0FC"/>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10-Q</w:t>
            </w:r>
          </w:p>
        </w:tc>
        <w:tc>
          <w:tcPr>
            <w:tcW w:w="560" w:type="dxa"/>
            <w:vAlign w:val="bottom"/>
            <w:gridSpan w:val="2"/>
            <w:shd w:val="clear" w:color="auto" w:fill="CFF0FC"/>
          </w:tcPr>
          <w:p>
            <w:pPr>
              <w:jc w:val="center"/>
              <w:ind w:left="30"/>
              <w:spacing w:after="0" w:line="195" w:lineRule="exact"/>
              <w:rPr>
                <w:sz w:val="20"/>
                <w:szCs w:val="20"/>
                <w:color w:val="auto"/>
              </w:rPr>
            </w:pPr>
            <w:r>
              <w:rPr>
                <w:rFonts w:ascii="Times New Roman" w:cs="Times New Roman" w:eastAsia="Times New Roman" w:hAnsi="Times New Roman"/>
                <w:sz w:val="18"/>
                <w:szCs w:val="18"/>
                <w:color w:val="auto"/>
              </w:rPr>
              <w:t>10.2</w:t>
            </w:r>
          </w:p>
        </w:tc>
        <w:tc>
          <w:tcPr>
            <w:tcW w:w="1280" w:type="dxa"/>
            <w:vAlign w:val="bottom"/>
            <w:gridSpan w:val="3"/>
            <w:shd w:val="clear" w:color="auto" w:fill="CFF0FC"/>
          </w:tcPr>
          <w:p>
            <w:pPr>
              <w:ind w:left="120"/>
              <w:spacing w:after="0" w:line="195" w:lineRule="exact"/>
              <w:rPr>
                <w:sz w:val="20"/>
                <w:szCs w:val="20"/>
                <w:color w:val="auto"/>
              </w:rPr>
            </w:pPr>
            <w:r>
              <w:rPr>
                <w:rFonts w:ascii="Times New Roman" w:cs="Times New Roman" w:eastAsia="Times New Roman" w:hAnsi="Times New Roman"/>
                <w:sz w:val="18"/>
                <w:szCs w:val="18"/>
                <w:color w:val="auto"/>
              </w:rPr>
              <w:t>August 4, 2021</w:t>
            </w:r>
          </w:p>
        </w:tc>
        <w:tc>
          <w:tcPr>
            <w:tcW w:w="120" w:type="dxa"/>
            <w:vAlign w:val="bottom"/>
            <w:shd w:val="clear" w:color="auto" w:fill="CFF0FC"/>
          </w:tcPr>
          <w:p>
            <w:pPr>
              <w:spacing w:after="0"/>
              <w:rPr>
                <w:sz w:val="17"/>
                <w:szCs w:val="17"/>
                <w:color w:val="auto"/>
              </w:rPr>
            </w:pPr>
          </w:p>
        </w:tc>
        <w:tc>
          <w:tcPr>
            <w:tcW w:w="640" w:type="dxa"/>
            <w:vAlign w:val="bottom"/>
            <w:tcBorders>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6220" w:type="dxa"/>
            <w:vAlign w:val="bottom"/>
            <w:tcBorders>
              <w:top w:val="single" w:sz="8" w:color="0000FF"/>
              <w:bottom w:val="single" w:sz="8" w:color="0000FF"/>
            </w:tcBorders>
            <w:gridSpan w:val="15"/>
            <w:shd w:val="clear" w:color="auto" w:fill="CFF0FC"/>
          </w:tcPr>
          <w:p>
            <w:pPr>
              <w:spacing w:after="0" w:line="195" w:lineRule="exact"/>
              <w:rPr>
                <w:rFonts w:ascii="Times New Roman" w:cs="Times New Roman" w:eastAsia="Times New Roman" w:hAnsi="Times New Roman"/>
                <w:sz w:val="18"/>
                <w:szCs w:val="18"/>
                <w:color w:val="0000FF"/>
              </w:rPr>
            </w:pPr>
            <w:hyperlink r:id="rId757">
              <w:r>
                <w:rPr>
                  <w:rFonts w:ascii="Times New Roman" w:cs="Times New Roman" w:eastAsia="Times New Roman" w:hAnsi="Times New Roman"/>
                  <w:sz w:val="18"/>
                  <w:szCs w:val="18"/>
                  <w:color w:val="0000FF"/>
                </w:rPr>
                <w:t>Agreement of Restrictive Covenants and Other Obligations, for Operating Committee</w:t>
              </w:r>
            </w:hyperlink>
          </w:p>
        </w:tc>
        <w:tc>
          <w:tcPr>
            <w:tcW w:w="280" w:type="dxa"/>
            <w:vAlign w:val="bottom"/>
            <w:tcBorders>
              <w:top w:val="single" w:sz="8" w:color="0000FF"/>
              <w:bottom w:val="single" w:sz="8" w:color="CFF0FC"/>
            </w:tcBorders>
            <w:gridSpan w:val="6"/>
            <w:shd w:val="clear" w:color="auto" w:fill="CFF0FC"/>
          </w:tcPr>
          <w:p>
            <w:pPr>
              <w:spacing w:after="0"/>
              <w:rPr>
                <w:sz w:val="17"/>
                <w:szCs w:val="17"/>
                <w:color w:val="auto"/>
              </w:rPr>
            </w:pPr>
          </w:p>
        </w:tc>
        <w:tc>
          <w:tcPr>
            <w:tcW w:w="340" w:type="dxa"/>
            <w:vAlign w:val="bottom"/>
            <w:tcBorders>
              <w:top w:val="single" w:sz="8" w:color="CFF0FC"/>
              <w:bottom w:val="single" w:sz="8" w:color="CFF0FC"/>
            </w:tcBorders>
            <w:gridSpan w:val="7"/>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52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4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14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640" w:type="dxa"/>
            <w:vAlign w:val="bottom"/>
            <w:tcBorders>
              <w:top w:val="single" w:sz="8" w:color="CFF0FC"/>
              <w:bottom w:val="single" w:sz="8" w:color="CFF0FC"/>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700" w:type="dxa"/>
            <w:vAlign w:val="bottom"/>
            <w:tcBorders>
              <w:bottom w:val="single" w:sz="8" w:color="0000FF"/>
            </w:tcBorders>
            <w:gridSpan w:val="26"/>
            <w:shd w:val="clear" w:color="auto" w:fill="CFF0FC"/>
          </w:tcPr>
          <w:p>
            <w:pPr>
              <w:spacing w:after="0" w:line="195" w:lineRule="exact"/>
              <w:rPr>
                <w:rFonts w:ascii="Times New Roman" w:cs="Times New Roman" w:eastAsia="Times New Roman" w:hAnsi="Times New Roman"/>
                <w:sz w:val="18"/>
                <w:szCs w:val="18"/>
                <w:color w:val="0000FF"/>
                <w:w w:val="99"/>
              </w:rPr>
            </w:pPr>
            <w:hyperlink r:id="rId757">
              <w:r>
                <w:rPr>
                  <w:rFonts w:ascii="Times New Roman" w:cs="Times New Roman" w:eastAsia="Times New Roman" w:hAnsi="Times New Roman"/>
                  <w:sz w:val="18"/>
                  <w:szCs w:val="18"/>
                  <w:color w:val="0000FF"/>
                  <w:w w:val="99"/>
                </w:rPr>
                <w:t>Members in the United States, under the Willis Towers Watson Amended and Restated 2012</w:t>
              </w:r>
            </w:hyperlink>
          </w:p>
        </w:tc>
        <w:tc>
          <w:tcPr>
            <w:tcW w:w="140" w:type="dxa"/>
            <w:vAlign w:val="bottom"/>
            <w:tcBorders>
              <w:bottom w:val="single" w:sz="8" w:color="CFF0FC"/>
            </w:tcBorders>
            <w:gridSpan w:val="2"/>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CFF0FC"/>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40" w:type="dxa"/>
            <w:vAlign w:val="bottom"/>
            <w:gridSpan w:val="28"/>
            <w:shd w:val="clear" w:color="auto" w:fill="CFF0FC"/>
          </w:tcPr>
          <w:p>
            <w:pPr>
              <w:spacing w:after="0" w:line="195" w:lineRule="exact"/>
              <w:rPr>
                <w:rFonts w:ascii="Times New Roman" w:cs="Times New Roman" w:eastAsia="Times New Roman" w:hAnsi="Times New Roman"/>
                <w:sz w:val="18"/>
                <w:szCs w:val="18"/>
                <w:color w:val="0000FF"/>
              </w:rPr>
            </w:pPr>
            <w:hyperlink r:id="rId757">
              <w:r>
                <w:rPr>
                  <w:rFonts w:ascii="Times New Roman" w:cs="Times New Roman" w:eastAsia="Times New Roman" w:hAnsi="Times New Roman"/>
                  <w:sz w:val="18"/>
                  <w:szCs w:val="18"/>
                  <w:color w:val="0000FF"/>
                </w:rPr>
                <w:t>Equity Incentive Plan</w:t>
              </w:r>
            </w:hyperlink>
          </w:p>
        </w:tc>
        <w:tc>
          <w:tcPr>
            <w:tcW w:w="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tcBorders>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Borders>
              <w:right w:val="single" w:sz="8" w:color="CFF0FC"/>
            </w:tcBorders>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0000FF"/>
            </w:tcBorders>
            <w:shd w:val="clear" w:color="auto" w:fill="CFF0FC"/>
          </w:tcPr>
          <w:p>
            <w:pPr>
              <w:spacing w:after="0"/>
              <w:rPr>
                <w:sz w:val="2"/>
                <w:szCs w:val="2"/>
                <w:color w:val="auto"/>
              </w:rPr>
            </w:pPr>
          </w:p>
        </w:tc>
        <w:tc>
          <w:tcPr>
            <w:tcW w:w="360" w:type="dxa"/>
            <w:vAlign w:val="bottom"/>
            <w:tcBorders>
              <w:top w:val="single" w:sz="8" w:color="0000FF"/>
            </w:tcBorders>
            <w:shd w:val="clear" w:color="auto" w:fill="CFF0FC"/>
          </w:tcPr>
          <w:p>
            <w:pPr>
              <w:spacing w:after="0"/>
              <w:rPr>
                <w:sz w:val="2"/>
                <w:szCs w:val="2"/>
                <w:color w:val="auto"/>
              </w:rPr>
            </w:pPr>
          </w:p>
        </w:tc>
        <w:tc>
          <w:tcPr>
            <w:tcW w:w="240" w:type="dxa"/>
            <w:vAlign w:val="bottom"/>
            <w:tcBorders>
              <w:top w:val="single" w:sz="8" w:color="0000FF"/>
            </w:tcBorders>
            <w:shd w:val="clear" w:color="auto" w:fill="CFF0FC"/>
          </w:tcPr>
          <w:p>
            <w:pPr>
              <w:spacing w:after="0"/>
              <w:rPr>
                <w:sz w:val="2"/>
                <w:szCs w:val="2"/>
                <w:color w:val="auto"/>
              </w:rPr>
            </w:pPr>
          </w:p>
        </w:tc>
        <w:tc>
          <w:tcPr>
            <w:tcW w:w="26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40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1300" w:type="dxa"/>
            <w:vAlign w:val="bottom"/>
            <w:tcBorders>
              <w:top w:val="single" w:sz="8" w:color="CFF0FC"/>
            </w:tcBorders>
            <w:shd w:val="clear" w:color="auto" w:fill="CFF0FC"/>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52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1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640" w:type="dxa"/>
            <w:vAlign w:val="bottom"/>
            <w:tcBorders>
              <w:top w:val="single" w:sz="8" w:color="CFF0FC"/>
              <w:right w:val="single" w:sz="8" w:color="CFF0FC"/>
            </w:tcBorders>
            <w:shd w:val="clear" w:color="auto" w:fill="CFF0FC"/>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7620" w:type="dxa"/>
            <w:vAlign w:val="bottom"/>
            <w:gridSpan w:val="30"/>
          </w:tcPr>
          <w:p>
            <w:pPr>
              <w:ind w:left="6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10.35†   </w:t>
            </w:r>
            <w:hyperlink r:id="rId758">
              <w:r>
                <w:rPr>
                  <w:rFonts w:ascii="Times New Roman" w:cs="Times New Roman" w:eastAsia="Times New Roman" w:hAnsi="Times New Roman"/>
                  <w:sz w:val="18"/>
                  <w:szCs w:val="18"/>
                  <w:color w:val="0000FF"/>
                </w:rPr>
                <w:t>Form of 2021 Performance-Based Restricted Share Unit Award Agreement, including the</w:t>
              </w:r>
            </w:hyperlink>
          </w:p>
        </w:tc>
        <w:tc>
          <w:tcPr>
            <w:tcW w:w="20" w:type="dxa"/>
            <w:vAlign w:val="bottom"/>
          </w:tcPr>
          <w:p>
            <w:pPr>
              <w:spacing w:after="0"/>
              <w:rPr>
                <w:sz w:val="16"/>
                <w:szCs w:val="16"/>
                <w:color w:val="auto"/>
              </w:rPr>
            </w:pPr>
          </w:p>
        </w:tc>
        <w:tc>
          <w:tcPr>
            <w:tcW w:w="5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10-Q</w:t>
            </w:r>
          </w:p>
        </w:tc>
        <w:tc>
          <w:tcPr>
            <w:tcW w:w="560" w:type="dxa"/>
            <w:vAlign w:val="bottom"/>
            <w:gridSpan w:val="2"/>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1280" w:type="dxa"/>
            <w:vAlign w:val="bottom"/>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auto"/>
              </w:rPr>
              <w:t>August 4, 2021</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20" w:type="dxa"/>
            <w:vAlign w:val="bottom"/>
            <w:tcBorders>
              <w:top w:val="single" w:sz="8" w:color="0000FF"/>
              <w:bottom w:val="single" w:sz="8" w:color="0000FF"/>
            </w:tcBorders>
            <w:gridSpan w:val="15"/>
          </w:tcPr>
          <w:p>
            <w:pPr>
              <w:spacing w:after="0" w:line="195" w:lineRule="exact"/>
              <w:rPr>
                <w:rFonts w:ascii="Times New Roman" w:cs="Times New Roman" w:eastAsia="Times New Roman" w:hAnsi="Times New Roman"/>
                <w:sz w:val="18"/>
                <w:szCs w:val="18"/>
                <w:color w:val="0000FF"/>
              </w:rPr>
            </w:pPr>
            <w:hyperlink r:id="rId758">
              <w:r>
                <w:rPr>
                  <w:rFonts w:ascii="Times New Roman" w:cs="Times New Roman" w:eastAsia="Times New Roman" w:hAnsi="Times New Roman"/>
                  <w:sz w:val="18"/>
                  <w:szCs w:val="18"/>
                  <w:color w:val="0000FF"/>
                </w:rPr>
                <w:t>Agreement of Restrictive Covenants and Other Obligations, for Operating Committee</w:t>
              </w:r>
            </w:hyperlink>
          </w:p>
        </w:tc>
        <w:tc>
          <w:tcPr>
            <w:tcW w:w="280" w:type="dxa"/>
            <w:vAlign w:val="bottom"/>
            <w:tcBorders>
              <w:top w:val="single" w:sz="8" w:color="0000FF"/>
            </w:tcBorders>
            <w:gridSpan w:val="6"/>
          </w:tcPr>
          <w:p>
            <w:pPr>
              <w:spacing w:after="0"/>
              <w:rPr>
                <w:sz w:val="17"/>
                <w:szCs w:val="17"/>
                <w:color w:val="auto"/>
              </w:rPr>
            </w:pPr>
          </w:p>
        </w:tc>
        <w:tc>
          <w:tcPr>
            <w:tcW w:w="34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60" w:type="dxa"/>
            <w:vAlign w:val="bottom"/>
            <w:tcBorders>
              <w:bottom w:val="single" w:sz="8" w:color="0000FF"/>
            </w:tcBorders>
            <w:gridSpan w:val="25"/>
          </w:tcPr>
          <w:p>
            <w:pPr>
              <w:spacing w:after="0" w:line="195" w:lineRule="exact"/>
              <w:rPr>
                <w:rFonts w:ascii="Times New Roman" w:cs="Times New Roman" w:eastAsia="Times New Roman" w:hAnsi="Times New Roman"/>
                <w:sz w:val="18"/>
                <w:szCs w:val="18"/>
                <w:color w:val="0000FF"/>
                <w:w w:val="99"/>
              </w:rPr>
            </w:pPr>
            <w:hyperlink r:id="rId758">
              <w:r>
                <w:rPr>
                  <w:rFonts w:ascii="Times New Roman" w:cs="Times New Roman" w:eastAsia="Times New Roman" w:hAnsi="Times New Roman"/>
                  <w:sz w:val="18"/>
                  <w:szCs w:val="18"/>
                  <w:color w:val="0000FF"/>
                  <w:w w:val="99"/>
                </w:rPr>
                <w:t>Members outside the United States, under the Willis Towers Watson Amended and Restated</w:t>
              </w:r>
            </w:hyperlink>
          </w:p>
        </w:tc>
        <w:tc>
          <w:tcPr>
            <w:tcW w:w="18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40" w:type="dxa"/>
            <w:vAlign w:val="bottom"/>
            <w:gridSpan w:val="28"/>
          </w:tcPr>
          <w:p>
            <w:pPr>
              <w:spacing w:after="0" w:line="195" w:lineRule="exact"/>
              <w:rPr>
                <w:rFonts w:ascii="Times New Roman" w:cs="Times New Roman" w:eastAsia="Times New Roman" w:hAnsi="Times New Roman"/>
                <w:sz w:val="18"/>
                <w:szCs w:val="18"/>
                <w:color w:val="0000FF"/>
              </w:rPr>
            </w:pPr>
            <w:hyperlink r:id="rId758">
              <w:r>
                <w:rPr>
                  <w:rFonts w:ascii="Times New Roman" w:cs="Times New Roman" w:eastAsia="Times New Roman" w:hAnsi="Times New Roman"/>
                  <w:sz w:val="18"/>
                  <w:szCs w:val="18"/>
                  <w:color w:val="0000FF"/>
                </w:rPr>
                <w:t>2012 Equity Incentive Plan</w:t>
              </w:r>
            </w:hyperlink>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Borders>
              <w:right w:val="single" w:sz="8" w:color="CFF0FC"/>
            </w:tcBorders>
          </w:tcPr>
          <w:p>
            <w:pPr>
              <w:spacing w:after="0"/>
              <w:rPr>
                <w:sz w:val="16"/>
                <w:szCs w:val="16"/>
                <w:color w:val="auto"/>
              </w:rPr>
            </w:pPr>
          </w:p>
        </w:tc>
        <w:tc>
          <w:tcPr>
            <w:tcW w:w="7620" w:type="dxa"/>
            <w:vAlign w:val="bottom"/>
            <w:gridSpan w:val="30"/>
            <w:shd w:val="clear" w:color="auto" w:fill="CFF0FC"/>
          </w:tcPr>
          <w:p>
            <w:pPr>
              <w:ind w:left="6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10.36†   </w:t>
            </w:r>
            <w:hyperlink r:id="rId759">
              <w:r>
                <w:rPr>
                  <w:rFonts w:ascii="Times New Roman" w:cs="Times New Roman" w:eastAsia="Times New Roman" w:hAnsi="Times New Roman"/>
                  <w:sz w:val="18"/>
                  <w:szCs w:val="18"/>
                  <w:color w:val="0000FF"/>
                </w:rPr>
                <w:t>Form of 2022 Time-Based Restricted Share Unit Award Agreement for Executive Officers</w:t>
              </w:r>
            </w:hyperlink>
          </w:p>
        </w:tc>
        <w:tc>
          <w:tcPr>
            <w:tcW w:w="20" w:type="dxa"/>
            <w:vAlign w:val="bottom"/>
            <w:shd w:val="clear" w:color="auto" w:fill="CFF0FC"/>
          </w:tcPr>
          <w:p>
            <w:pPr>
              <w:spacing w:after="0"/>
              <w:rPr>
                <w:sz w:val="16"/>
                <w:szCs w:val="16"/>
                <w:color w:val="auto"/>
              </w:rPr>
            </w:pPr>
          </w:p>
        </w:tc>
        <w:tc>
          <w:tcPr>
            <w:tcW w:w="52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60" w:type="dxa"/>
            <w:vAlign w:val="bottom"/>
            <w:gridSpan w:val="2"/>
            <w:shd w:val="clear" w:color="auto" w:fill="CFF0FC"/>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280" w:type="dxa"/>
            <w:vAlign w:val="bottom"/>
            <w:gridSpan w:val="3"/>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February 28,</w:t>
            </w:r>
          </w:p>
        </w:tc>
        <w:tc>
          <w:tcPr>
            <w:tcW w:w="120" w:type="dxa"/>
            <w:vAlign w:val="bottom"/>
            <w:shd w:val="clear" w:color="auto" w:fill="CFF0FC"/>
          </w:tcPr>
          <w:p>
            <w:pPr>
              <w:spacing w:after="0"/>
              <w:rPr>
                <w:sz w:val="16"/>
                <w:szCs w:val="16"/>
                <w:color w:val="auto"/>
              </w:rPr>
            </w:pPr>
          </w:p>
        </w:tc>
        <w:tc>
          <w:tcPr>
            <w:tcW w:w="640" w:type="dxa"/>
            <w:vAlign w:val="bottom"/>
            <w:tcBorders>
              <w:right w:val="single" w:sz="8" w:color="CFF0FC"/>
            </w:tcBorders>
            <w:shd w:val="clear" w:color="auto" w:fill="CFF0FC"/>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 w:type="dxa"/>
            <w:vAlign w:val="bottom"/>
            <w:tcBorders>
              <w:right w:val="single" w:sz="8" w:color="CFF0FC"/>
            </w:tcBorders>
          </w:tcPr>
          <w:p>
            <w:pPr>
              <w:spacing w:after="0"/>
              <w:rPr>
                <w:sz w:val="17"/>
                <w:szCs w:val="17"/>
                <w:color w:val="auto"/>
              </w:rPr>
            </w:pPr>
          </w:p>
        </w:tc>
        <w:tc>
          <w:tcPr>
            <w:tcW w:w="6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6560" w:type="dxa"/>
            <w:vAlign w:val="bottom"/>
            <w:tcBorders>
              <w:top w:val="single" w:sz="8" w:color="0000FF"/>
            </w:tcBorders>
            <w:gridSpan w:val="23"/>
            <w:shd w:val="clear" w:color="auto" w:fill="CFF0FC"/>
          </w:tcPr>
          <w:p>
            <w:pPr>
              <w:spacing w:after="0" w:line="195" w:lineRule="exact"/>
              <w:rPr>
                <w:rFonts w:ascii="Times New Roman" w:cs="Times New Roman" w:eastAsia="Times New Roman" w:hAnsi="Times New Roman"/>
                <w:sz w:val="18"/>
                <w:szCs w:val="18"/>
                <w:color w:val="0000FF"/>
              </w:rPr>
            </w:pPr>
            <w:hyperlink r:id="rId759">
              <w:r>
                <w:rPr>
                  <w:rFonts w:ascii="Times New Roman" w:cs="Times New Roman" w:eastAsia="Times New Roman" w:hAnsi="Times New Roman"/>
                  <w:sz w:val="18"/>
                  <w:szCs w:val="18"/>
                  <w:color w:val="0000FF"/>
                </w:rPr>
                <w:t>under the Willis Towers Watson Amended and Restated 2012 Equity Incentive Plan</w:t>
              </w:r>
            </w:hyperlink>
          </w:p>
        </w:tc>
        <w:tc>
          <w:tcPr>
            <w:tcW w:w="280" w:type="dxa"/>
            <w:vAlign w:val="bottom"/>
            <w:tcBorders>
              <w:top w:val="single" w:sz="8" w:color="CFF0FC"/>
            </w:tcBorders>
            <w:gridSpan w:val="5"/>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5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CFF0FC"/>
            </w:tcBorders>
            <w:shd w:val="clear" w:color="auto" w:fill="CFF0FC"/>
          </w:tcPr>
          <w:p>
            <w:pPr>
              <w:spacing w:after="0"/>
              <w:rPr>
                <w:sz w:val="17"/>
                <w:szCs w:val="17"/>
                <w:color w:val="auto"/>
              </w:rPr>
            </w:pPr>
          </w:p>
        </w:tc>
        <w:tc>
          <w:tcPr>
            <w:tcW w:w="1260" w:type="dxa"/>
            <w:vAlign w:val="bottom"/>
            <w:tcBorders>
              <w:top w:val="single" w:sz="8" w:color="CFF0FC"/>
            </w:tcBorders>
            <w:gridSpan w:val="2"/>
            <w:shd w:val="clear" w:color="auto" w:fill="CFF0FC"/>
          </w:tcPr>
          <w:p>
            <w:pPr>
              <w:ind w:left="120"/>
              <w:spacing w:after="0" w:line="195" w:lineRule="exact"/>
              <w:rPr>
                <w:sz w:val="20"/>
                <w:szCs w:val="20"/>
                <w:color w:val="auto"/>
              </w:rPr>
            </w:pPr>
            <w:r>
              <w:rPr>
                <w:rFonts w:ascii="Times New Roman" w:cs="Times New Roman" w:eastAsia="Times New Roman" w:hAnsi="Times New Roman"/>
                <w:sz w:val="18"/>
                <w:szCs w:val="18"/>
                <w:color w:val="auto"/>
              </w:rPr>
              <w:t>2022</w:t>
            </w:r>
          </w:p>
        </w:tc>
        <w:tc>
          <w:tcPr>
            <w:tcW w:w="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CFF0FC"/>
              <w:right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0" w:type="dxa"/>
            <w:vAlign w:val="bottom"/>
            <w:tcBorders>
              <w:right w:val="single" w:sz="8" w:color="CFF0FC"/>
            </w:tcBorders>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0000FF"/>
            </w:tcBorders>
            <w:shd w:val="clear" w:color="auto" w:fill="CFF0FC"/>
          </w:tcPr>
          <w:p>
            <w:pPr>
              <w:spacing w:after="0"/>
              <w:rPr>
                <w:sz w:val="2"/>
                <w:szCs w:val="2"/>
                <w:color w:val="auto"/>
              </w:rPr>
            </w:pPr>
          </w:p>
        </w:tc>
        <w:tc>
          <w:tcPr>
            <w:tcW w:w="360" w:type="dxa"/>
            <w:vAlign w:val="bottom"/>
            <w:tcBorders>
              <w:top w:val="single" w:sz="8" w:color="0000FF"/>
            </w:tcBorders>
            <w:shd w:val="clear" w:color="auto" w:fill="CFF0FC"/>
          </w:tcPr>
          <w:p>
            <w:pPr>
              <w:spacing w:after="0"/>
              <w:rPr>
                <w:sz w:val="2"/>
                <w:szCs w:val="2"/>
                <w:color w:val="auto"/>
              </w:rPr>
            </w:pPr>
          </w:p>
        </w:tc>
        <w:tc>
          <w:tcPr>
            <w:tcW w:w="240" w:type="dxa"/>
            <w:vAlign w:val="bottom"/>
            <w:tcBorders>
              <w:top w:val="single" w:sz="8" w:color="0000FF"/>
            </w:tcBorders>
            <w:shd w:val="clear" w:color="auto" w:fill="CFF0FC"/>
          </w:tcPr>
          <w:p>
            <w:pPr>
              <w:spacing w:after="0"/>
              <w:rPr>
                <w:sz w:val="2"/>
                <w:szCs w:val="2"/>
                <w:color w:val="auto"/>
              </w:rPr>
            </w:pPr>
          </w:p>
        </w:tc>
        <w:tc>
          <w:tcPr>
            <w:tcW w:w="26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40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1300" w:type="dxa"/>
            <w:vAlign w:val="bottom"/>
            <w:tcBorders>
              <w:top w:val="single" w:sz="8" w:color="0000FF"/>
            </w:tcBorders>
            <w:shd w:val="clear" w:color="auto" w:fill="CFF0FC"/>
          </w:tcPr>
          <w:p>
            <w:pPr>
              <w:spacing w:after="0"/>
              <w:rPr>
                <w:sz w:val="2"/>
                <w:szCs w:val="2"/>
                <w:color w:val="auto"/>
              </w:rPr>
            </w:pPr>
          </w:p>
        </w:tc>
        <w:tc>
          <w:tcPr>
            <w:tcW w:w="640" w:type="dxa"/>
            <w:vAlign w:val="bottom"/>
            <w:tcBorders>
              <w:top w:val="single" w:sz="8" w:color="0000FF"/>
            </w:tcBorders>
            <w:shd w:val="clear" w:color="auto" w:fill="CFF0FC"/>
          </w:tcPr>
          <w:p>
            <w:pPr>
              <w:spacing w:after="0"/>
              <w:rPr>
                <w:sz w:val="2"/>
                <w:szCs w:val="2"/>
                <w:color w:val="auto"/>
              </w:rPr>
            </w:pPr>
          </w:p>
        </w:tc>
        <w:tc>
          <w:tcPr>
            <w:tcW w:w="1040" w:type="dxa"/>
            <w:vAlign w:val="bottom"/>
            <w:tcBorders>
              <w:top w:val="single" w:sz="8" w:color="0000FF"/>
            </w:tcBorders>
            <w:shd w:val="clear" w:color="auto" w:fill="CFF0FC"/>
          </w:tcPr>
          <w:p>
            <w:pPr>
              <w:spacing w:after="0"/>
              <w:rPr>
                <w:sz w:val="2"/>
                <w:szCs w:val="2"/>
                <w:color w:val="auto"/>
              </w:rPr>
            </w:pPr>
          </w:p>
        </w:tc>
        <w:tc>
          <w:tcPr>
            <w:tcW w:w="560" w:type="dxa"/>
            <w:vAlign w:val="bottom"/>
            <w:tcBorders>
              <w:top w:val="single" w:sz="8" w:color="0000FF"/>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52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1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640" w:type="dxa"/>
            <w:vAlign w:val="bottom"/>
            <w:tcBorders>
              <w:top w:val="single" w:sz="8" w:color="CFF0FC"/>
              <w:right w:val="single" w:sz="8" w:color="CFF0FC"/>
            </w:tcBorders>
            <w:shd w:val="clear" w:color="auto" w:fill="CFF0FC"/>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0" w:type="dxa"/>
            <w:vAlign w:val="bottom"/>
          </w:tcPr>
          <w:p>
            <w:pPr>
              <w:spacing w:after="0"/>
              <w:rPr>
                <w:sz w:val="16"/>
                <w:szCs w:val="16"/>
                <w:color w:val="auto"/>
              </w:rPr>
            </w:pPr>
          </w:p>
        </w:tc>
        <w:tc>
          <w:tcPr>
            <w:tcW w:w="7620" w:type="dxa"/>
            <w:vAlign w:val="bottom"/>
            <w:gridSpan w:val="30"/>
          </w:tcPr>
          <w:p>
            <w:pPr>
              <w:ind w:left="60"/>
              <w:spacing w:after="0" w:line="18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10.37†   </w:t>
            </w:r>
            <w:hyperlink r:id="rId760">
              <w:r>
                <w:rPr>
                  <w:rFonts w:ascii="Times New Roman" w:cs="Times New Roman" w:eastAsia="Times New Roman" w:hAnsi="Times New Roman"/>
                  <w:sz w:val="18"/>
                  <w:szCs w:val="18"/>
                  <w:color w:val="0000FF"/>
                </w:rPr>
                <w:t>Form of 2022 Performance-Based Restricted Share Unit Award Agreement for Executive</w:t>
              </w:r>
            </w:hyperlink>
          </w:p>
        </w:tc>
        <w:tc>
          <w:tcPr>
            <w:tcW w:w="20" w:type="dxa"/>
            <w:vAlign w:val="bottom"/>
          </w:tcPr>
          <w:p>
            <w:pPr>
              <w:spacing w:after="0"/>
              <w:rPr>
                <w:sz w:val="16"/>
                <w:szCs w:val="16"/>
                <w:color w:val="auto"/>
              </w:rPr>
            </w:pPr>
          </w:p>
        </w:tc>
        <w:tc>
          <w:tcPr>
            <w:tcW w:w="5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60" w:type="dxa"/>
            <w:vAlign w:val="bottom"/>
            <w:gridSpan w:val="2"/>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1280" w:type="dxa"/>
            <w:vAlign w:val="bottom"/>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auto"/>
              </w:rPr>
              <w:t>February 28,</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80" w:type="dxa"/>
            <w:vAlign w:val="bottom"/>
            <w:gridSpan w:val="20"/>
            <w:shd w:val="clear" w:color="auto" w:fill="0000FF"/>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60" w:type="dxa"/>
            <w:vAlign w:val="bottom"/>
            <w:tcBorders>
              <w:bottom w:val="single" w:sz="8" w:color="0000FF"/>
            </w:tcBorders>
            <w:gridSpan w:val="25"/>
          </w:tcPr>
          <w:p>
            <w:pPr>
              <w:spacing w:after="0" w:line="195" w:lineRule="exact"/>
              <w:rPr>
                <w:rFonts w:ascii="Times New Roman" w:cs="Times New Roman" w:eastAsia="Times New Roman" w:hAnsi="Times New Roman"/>
                <w:sz w:val="18"/>
                <w:szCs w:val="18"/>
                <w:color w:val="0000FF"/>
                <w:w w:val="99"/>
              </w:rPr>
            </w:pPr>
            <w:hyperlink r:id="rId760">
              <w:r>
                <w:rPr>
                  <w:rFonts w:ascii="Times New Roman" w:cs="Times New Roman" w:eastAsia="Times New Roman" w:hAnsi="Times New Roman"/>
                  <w:sz w:val="18"/>
                  <w:szCs w:val="18"/>
                  <w:color w:val="0000FF"/>
                  <w:w w:val="99"/>
                </w:rPr>
                <w:t>Officers under the Willis Towers Watson Amended and Restated 2012 Equity Incentive Plan</w:t>
              </w:r>
            </w:hyperlink>
          </w:p>
        </w:tc>
        <w:tc>
          <w:tcPr>
            <w:tcW w:w="18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gridSpan w:val="2"/>
          </w:tcPr>
          <w:p>
            <w:pPr>
              <w:ind w:left="120"/>
              <w:spacing w:after="0" w:line="195" w:lineRule="exact"/>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1"/>
        </w:trPr>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300" w:type="dxa"/>
            <w:vAlign w:val="bottom"/>
            <w:gridSpan w:val="11"/>
          </w:tcPr>
          <w:p>
            <w:pPr>
              <w:jc w:val="right"/>
              <w:ind w:right="440"/>
              <w:spacing w:after="0"/>
              <w:rPr>
                <w:sz w:val="20"/>
                <w:szCs w:val="20"/>
                <w:color w:val="auto"/>
              </w:rPr>
            </w:pPr>
            <w:r>
              <w:rPr>
                <w:rFonts w:ascii="Times New Roman" w:cs="Times New Roman" w:eastAsia="Times New Roman" w:hAnsi="Times New Roman"/>
                <w:sz w:val="18"/>
                <w:szCs w:val="18"/>
                <w:color w:val="auto"/>
              </w:rPr>
              <w:t>132</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6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134" w:name="page135"/>
    <w:bookmarkEnd w:id="134"/>
    <w:tbl>
      <w:tblPr>
        <w:tblLayout w:type="fixed"/>
        <w:tblInd w:w="24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320" w:type="dxa"/>
            <w:vAlign w:val="bottom"/>
            <w:gridSpan w:val="1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5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Schedul</w:t>
            </w:r>
          </w:p>
        </w:tc>
        <w:tc>
          <w:tcPr>
            <w:tcW w:w="140" w:type="dxa"/>
            <w:vAlign w:val="bottom"/>
          </w:tcPr>
          <w:p>
            <w:pPr>
              <w:spacing w:after="0"/>
              <w:rPr>
                <w:sz w:val="11"/>
                <w:szCs w:val="11"/>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w:t>
            </w:r>
          </w:p>
        </w:tc>
        <w:tc>
          <w:tcPr>
            <w:tcW w:w="140" w:type="dxa"/>
            <w:vAlign w:val="bottom"/>
          </w:tcPr>
          <w:p>
            <w:pPr>
              <w:spacing w:after="0"/>
              <w:rPr>
                <w:sz w:val="11"/>
                <w:szCs w:val="11"/>
                <w:color w:val="auto"/>
              </w:rPr>
            </w:pPr>
          </w:p>
        </w:tc>
        <w:tc>
          <w:tcPr>
            <w:tcW w:w="1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20" w:type="dxa"/>
            <w:vAlign w:val="bottom"/>
            <w:gridSpan w:val="14"/>
            <w:vMerge w:val="continue"/>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w:t>
            </w:r>
          </w:p>
        </w:tc>
        <w:tc>
          <w:tcPr>
            <w:tcW w:w="14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Herewith</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 w:type="dxa"/>
            <w:vAlign w:val="bottom"/>
            <w:vMerge w:val="restart"/>
          </w:tcPr>
          <w:p>
            <w:pPr>
              <w:spacing w:after="0"/>
              <w:rPr>
                <w:sz w:val="2"/>
                <w:szCs w:val="2"/>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w:t>
            </w:r>
          </w:p>
        </w:tc>
        <w:tc>
          <w:tcPr>
            <w:tcW w:w="1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10.38†</w:t>
            </w:r>
          </w:p>
        </w:tc>
        <w:tc>
          <w:tcPr>
            <w:tcW w:w="140" w:type="dxa"/>
            <w:vAlign w:val="bottom"/>
            <w:tcBorders>
              <w:bottom w:val="single" w:sz="8" w:color="CFF0FC"/>
            </w:tcBorders>
            <w:shd w:val="clear" w:color="auto" w:fill="CFF0FC"/>
          </w:tcPr>
          <w:p>
            <w:pPr>
              <w:spacing w:after="0"/>
              <w:rPr>
                <w:sz w:val="16"/>
                <w:szCs w:val="16"/>
                <w:color w:val="auto"/>
              </w:rPr>
            </w:pPr>
          </w:p>
        </w:tc>
        <w:tc>
          <w:tcPr>
            <w:tcW w:w="6640" w:type="dxa"/>
            <w:vAlign w:val="bottom"/>
            <w:tcBorders>
              <w:bottom w:val="single" w:sz="8" w:color="0000FF"/>
            </w:tcBorders>
            <w:gridSpan w:val="15"/>
            <w:shd w:val="clear" w:color="auto" w:fill="CFF0FC"/>
          </w:tcPr>
          <w:p>
            <w:pPr>
              <w:spacing w:after="0" w:line="189" w:lineRule="exact"/>
              <w:rPr>
                <w:rFonts w:ascii="Times New Roman" w:cs="Times New Roman" w:eastAsia="Times New Roman" w:hAnsi="Times New Roman"/>
                <w:sz w:val="18"/>
                <w:szCs w:val="18"/>
                <w:color w:val="0000FF"/>
                <w:w w:val="99"/>
              </w:rPr>
            </w:pPr>
            <w:hyperlink r:id="rId763">
              <w:r>
                <w:rPr>
                  <w:rFonts w:ascii="Times New Roman" w:cs="Times New Roman" w:eastAsia="Times New Roman" w:hAnsi="Times New Roman"/>
                  <w:sz w:val="18"/>
                  <w:szCs w:val="18"/>
                  <w:color w:val="0000FF"/>
                  <w:w w:val="99"/>
                </w:rPr>
                <w:t>Willis Towers Watson Public Limited Company Severance and Change in Control Pay Plan</w:t>
              </w:r>
            </w:hyperlink>
          </w:p>
        </w:tc>
        <w:tc>
          <w:tcPr>
            <w:tcW w:w="220" w:type="dxa"/>
            <w:vAlign w:val="bottom"/>
            <w:tcBorders>
              <w:bottom w:val="single" w:sz="8" w:color="CFF0FC"/>
            </w:tcBorders>
            <w:gridSpan w:val="3"/>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60" w:type="dxa"/>
            <w:vAlign w:val="bottom"/>
            <w:tcBorders>
              <w:bottom w:val="single" w:sz="8" w:color="CFF0FC"/>
            </w:tcBorders>
            <w:gridSpan w:val="2"/>
            <w:shd w:val="clear" w:color="auto" w:fill="CFF0FC"/>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1240" w:type="dxa"/>
            <w:vAlign w:val="bottom"/>
            <w:tcBorders>
              <w:bottom w:val="single" w:sz="8" w:color="CFF0FC"/>
            </w:tcBorders>
            <w:gridSpan w:val="3"/>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February 28,</w:t>
            </w:r>
          </w:p>
        </w:tc>
        <w:tc>
          <w:tcPr>
            <w:tcW w:w="12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540" w:type="dxa"/>
            <w:vAlign w:val="bottom"/>
            <w:tcBorders>
              <w:bottom w:val="single" w:sz="8" w:color="0000FF"/>
            </w:tcBorders>
            <w:gridSpan w:val="13"/>
            <w:shd w:val="clear" w:color="auto" w:fill="CFF0FC"/>
          </w:tcPr>
          <w:p>
            <w:pPr>
              <w:spacing w:after="0" w:line="195" w:lineRule="exact"/>
              <w:rPr>
                <w:rFonts w:ascii="Times New Roman" w:cs="Times New Roman" w:eastAsia="Times New Roman" w:hAnsi="Times New Roman"/>
                <w:sz w:val="18"/>
                <w:szCs w:val="18"/>
                <w:color w:val="0000FF"/>
              </w:rPr>
            </w:pPr>
            <w:hyperlink r:id="rId763">
              <w:r>
                <w:rPr>
                  <w:rFonts w:ascii="Times New Roman" w:cs="Times New Roman" w:eastAsia="Times New Roman" w:hAnsi="Times New Roman"/>
                  <w:sz w:val="18"/>
                  <w:szCs w:val="18"/>
                  <w:color w:val="0000FF"/>
                </w:rPr>
                <w:t>for US Executives, adopted March 8, 2020 and as amended June 5, 2020 and February 22,</w:t>
              </w:r>
            </w:hyperlink>
          </w:p>
        </w:tc>
        <w:tc>
          <w:tcPr>
            <w:tcW w:w="320" w:type="dxa"/>
            <w:vAlign w:val="bottom"/>
            <w:tcBorders>
              <w:bottom w:val="single" w:sz="8" w:color="CFF0FC"/>
            </w:tcBorders>
            <w:gridSpan w:val="5"/>
            <w:shd w:val="clear" w:color="auto" w:fill="CFF0FC"/>
          </w:tcPr>
          <w:p>
            <w:pPr>
              <w:spacing w:after="0"/>
              <w:rPr>
                <w:sz w:val="17"/>
                <w:szCs w:val="17"/>
                <w:color w:val="auto"/>
              </w:rPr>
            </w:pPr>
          </w:p>
        </w:tc>
        <w:tc>
          <w:tcPr>
            <w:tcW w:w="5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CFF0FC"/>
            </w:tcBorders>
            <w:gridSpan w:val="2"/>
            <w:shd w:val="clear" w:color="auto" w:fill="CFF0FC"/>
          </w:tcPr>
          <w:p>
            <w:pPr>
              <w:ind w:left="140"/>
              <w:spacing w:after="0" w:line="195" w:lineRule="exact"/>
              <w:rPr>
                <w:sz w:val="20"/>
                <w:szCs w:val="20"/>
                <w:color w:val="auto"/>
              </w:rPr>
            </w:pPr>
            <w:r>
              <w:rPr>
                <w:rFonts w:ascii="Times New Roman" w:cs="Times New Roman" w:eastAsia="Times New Roman" w:hAnsi="Times New Roman"/>
                <w:sz w:val="18"/>
                <w:szCs w:val="18"/>
                <w:color w:val="auto"/>
              </w:rPr>
              <w:t>2022</w:t>
            </w: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gridSpan w:val="2"/>
            <w:shd w:val="clear" w:color="auto" w:fill="CFF0FC"/>
          </w:tcPr>
          <w:p>
            <w:pPr>
              <w:spacing w:after="0" w:line="195" w:lineRule="exact"/>
              <w:rPr>
                <w:rFonts w:ascii="Times New Roman" w:cs="Times New Roman" w:eastAsia="Times New Roman" w:hAnsi="Times New Roman"/>
                <w:sz w:val="18"/>
                <w:szCs w:val="18"/>
                <w:color w:val="0000FF"/>
              </w:rPr>
            </w:pPr>
            <w:hyperlink r:id="rId763">
              <w:r>
                <w:rPr>
                  <w:rFonts w:ascii="Times New Roman" w:cs="Times New Roman" w:eastAsia="Times New Roman" w:hAnsi="Times New Roman"/>
                  <w:sz w:val="18"/>
                  <w:szCs w:val="18"/>
                  <w:color w:val="0000FF"/>
                </w:rPr>
                <w:t>2022</w:t>
              </w:r>
            </w:hyperlink>
          </w:p>
        </w:tc>
        <w:tc>
          <w:tcPr>
            <w:tcW w:w="7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0000FF"/>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760" w:type="dxa"/>
            <w:vAlign w:val="bottom"/>
            <w:tcBorders>
              <w:top w:val="single" w:sz="8" w:color="CFF0FC"/>
            </w:tcBorders>
            <w:shd w:val="clear" w:color="auto" w:fill="CFF0FC"/>
          </w:tcPr>
          <w:p>
            <w:pPr>
              <w:spacing w:after="0"/>
              <w:rPr>
                <w:sz w:val="2"/>
                <w:szCs w:val="2"/>
                <w:color w:val="auto"/>
              </w:rPr>
            </w:pPr>
          </w:p>
        </w:tc>
        <w:tc>
          <w:tcPr>
            <w:tcW w:w="114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400" w:type="dxa"/>
            <w:vAlign w:val="bottom"/>
            <w:tcBorders>
              <w:top w:val="single" w:sz="8" w:color="CFF0FC"/>
            </w:tcBorders>
            <w:shd w:val="clear" w:color="auto" w:fill="CFF0FC"/>
          </w:tcPr>
          <w:p>
            <w:pPr>
              <w:spacing w:after="0"/>
              <w:rPr>
                <w:sz w:val="2"/>
                <w:szCs w:val="2"/>
                <w:color w:val="auto"/>
              </w:rPr>
            </w:pPr>
          </w:p>
        </w:tc>
        <w:tc>
          <w:tcPr>
            <w:tcW w:w="84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c>
          <w:tcPr>
            <w:tcW w:w="1420" w:type="dxa"/>
            <w:vAlign w:val="bottom"/>
            <w:tcBorders>
              <w:top w:val="single" w:sz="8" w:color="CFF0FC"/>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0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10.39†</w:t>
            </w:r>
          </w:p>
        </w:tc>
        <w:tc>
          <w:tcPr>
            <w:tcW w:w="140" w:type="dxa"/>
            <w:vAlign w:val="bottom"/>
          </w:tcPr>
          <w:p>
            <w:pPr>
              <w:spacing w:after="0"/>
              <w:rPr>
                <w:sz w:val="16"/>
                <w:szCs w:val="16"/>
                <w:color w:val="auto"/>
              </w:rPr>
            </w:pPr>
          </w:p>
        </w:tc>
        <w:tc>
          <w:tcPr>
            <w:tcW w:w="6640" w:type="dxa"/>
            <w:vAlign w:val="bottom"/>
            <w:tcBorders>
              <w:bottom w:val="single" w:sz="8" w:color="0000FF"/>
            </w:tcBorders>
            <w:gridSpan w:val="15"/>
          </w:tcPr>
          <w:p>
            <w:pPr>
              <w:spacing w:after="0" w:line="189" w:lineRule="exact"/>
              <w:rPr>
                <w:rFonts w:ascii="Times New Roman" w:cs="Times New Roman" w:eastAsia="Times New Roman" w:hAnsi="Times New Roman"/>
                <w:sz w:val="18"/>
                <w:szCs w:val="18"/>
                <w:color w:val="0000FF"/>
                <w:w w:val="99"/>
              </w:rPr>
            </w:pPr>
            <w:hyperlink r:id="rId764">
              <w:r>
                <w:rPr>
                  <w:rFonts w:ascii="Times New Roman" w:cs="Times New Roman" w:eastAsia="Times New Roman" w:hAnsi="Times New Roman"/>
                  <w:sz w:val="18"/>
                  <w:szCs w:val="18"/>
                  <w:color w:val="0000FF"/>
                  <w:w w:val="99"/>
                </w:rPr>
                <w:t>Willis Towers Watson Public Limited Company Severance and Change in Control Pay Plan</w:t>
              </w:r>
            </w:hyperlink>
          </w:p>
        </w:tc>
        <w:tc>
          <w:tcPr>
            <w:tcW w:w="220" w:type="dxa"/>
            <w:vAlign w:val="bottom"/>
            <w:gridSpan w:val="3"/>
          </w:tcPr>
          <w:p>
            <w:pPr>
              <w:spacing w:after="0"/>
              <w:rPr>
                <w:sz w:val="16"/>
                <w:szCs w:val="16"/>
                <w:color w:val="auto"/>
              </w:rPr>
            </w:pPr>
          </w:p>
        </w:tc>
        <w:tc>
          <w:tcPr>
            <w:tcW w:w="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60" w:type="dxa"/>
            <w:vAlign w:val="bottom"/>
            <w:gridSpan w:val="2"/>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1240" w:type="dxa"/>
            <w:vAlign w:val="bottom"/>
            <w:gridSpan w:val="3"/>
          </w:tcPr>
          <w:p>
            <w:pPr>
              <w:ind w:left="140"/>
              <w:spacing w:after="0" w:line="189" w:lineRule="exact"/>
              <w:rPr>
                <w:sz w:val="20"/>
                <w:szCs w:val="20"/>
                <w:color w:val="auto"/>
              </w:rPr>
            </w:pPr>
            <w:r>
              <w:rPr>
                <w:rFonts w:ascii="Times New Roman" w:cs="Times New Roman" w:eastAsia="Times New Roman" w:hAnsi="Times New Roman"/>
                <w:sz w:val="18"/>
                <w:szCs w:val="18"/>
                <w:color w:val="auto"/>
              </w:rPr>
              <w:t>February 28,</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40" w:type="dxa"/>
            <w:vAlign w:val="bottom"/>
            <w:tcBorders>
              <w:bottom w:val="single" w:sz="8" w:color="0000FF"/>
            </w:tcBorders>
            <w:gridSpan w:val="15"/>
          </w:tcPr>
          <w:p>
            <w:pPr>
              <w:spacing w:after="0" w:line="195" w:lineRule="exact"/>
              <w:rPr>
                <w:rFonts w:ascii="Times New Roman" w:cs="Times New Roman" w:eastAsia="Times New Roman" w:hAnsi="Times New Roman"/>
                <w:sz w:val="18"/>
                <w:szCs w:val="18"/>
                <w:color w:val="0000FF"/>
              </w:rPr>
            </w:pPr>
            <w:hyperlink r:id="rId764">
              <w:r>
                <w:rPr>
                  <w:rFonts w:ascii="Times New Roman" w:cs="Times New Roman" w:eastAsia="Times New Roman" w:hAnsi="Times New Roman"/>
                  <w:sz w:val="18"/>
                  <w:szCs w:val="18"/>
                  <w:color w:val="0000FF"/>
                </w:rPr>
                <w:t>for Non-US Executives, adopted March 8, 2020 and as amended June 5, 2020 and February</w:t>
              </w:r>
            </w:hyperlink>
          </w:p>
        </w:tc>
        <w:tc>
          <w:tcPr>
            <w:tcW w:w="220" w:type="dxa"/>
            <w:vAlign w:val="bottom"/>
            <w:gridSpan w:val="3"/>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gridSpan w:val="2"/>
          </w:tcPr>
          <w:p>
            <w:pPr>
              <w:ind w:left="140"/>
              <w:spacing w:after="0" w:line="195" w:lineRule="exact"/>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40" w:type="dxa"/>
            <w:vAlign w:val="bottom"/>
            <w:gridSpan w:val="4"/>
          </w:tcPr>
          <w:p>
            <w:pPr>
              <w:ind w:left="140"/>
              <w:spacing w:after="0" w:line="195" w:lineRule="exact"/>
              <w:rPr>
                <w:rFonts w:ascii="Times New Roman" w:cs="Times New Roman" w:eastAsia="Times New Roman" w:hAnsi="Times New Roman"/>
                <w:sz w:val="18"/>
                <w:szCs w:val="18"/>
                <w:color w:val="0000FF"/>
              </w:rPr>
            </w:pPr>
            <w:hyperlink r:id="rId764">
              <w:r>
                <w:rPr>
                  <w:rFonts w:ascii="Times New Roman" w:cs="Times New Roman" w:eastAsia="Times New Roman" w:hAnsi="Times New Roman"/>
                  <w:sz w:val="18"/>
                  <w:szCs w:val="18"/>
                  <w:color w:val="0000FF"/>
                </w:rPr>
                <w:t>22, 2022</w:t>
              </w:r>
            </w:hyperlink>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10.40†</w:t>
            </w:r>
          </w:p>
        </w:tc>
        <w:tc>
          <w:tcPr>
            <w:tcW w:w="140" w:type="dxa"/>
            <w:vAlign w:val="bottom"/>
            <w:tcBorders>
              <w:bottom w:val="single" w:sz="8" w:color="CFF0FC"/>
            </w:tcBorders>
            <w:shd w:val="clear" w:color="auto" w:fill="CFF0FC"/>
          </w:tcPr>
          <w:p>
            <w:pPr>
              <w:spacing w:after="0"/>
              <w:rPr>
                <w:sz w:val="16"/>
                <w:szCs w:val="16"/>
                <w:color w:val="auto"/>
              </w:rPr>
            </w:pPr>
          </w:p>
        </w:tc>
        <w:tc>
          <w:tcPr>
            <w:tcW w:w="6680" w:type="dxa"/>
            <w:vAlign w:val="bottom"/>
            <w:tcBorders>
              <w:bottom w:val="single" w:sz="8" w:color="0000FF"/>
            </w:tcBorders>
            <w:gridSpan w:val="16"/>
            <w:shd w:val="clear" w:color="auto" w:fill="CFF0FC"/>
          </w:tcPr>
          <w:p>
            <w:pPr>
              <w:spacing w:after="0" w:line="189" w:lineRule="exact"/>
              <w:rPr>
                <w:rFonts w:ascii="Times New Roman" w:cs="Times New Roman" w:eastAsia="Times New Roman" w:hAnsi="Times New Roman"/>
                <w:sz w:val="18"/>
                <w:szCs w:val="18"/>
                <w:color w:val="0000FF"/>
                <w:w w:val="99"/>
              </w:rPr>
            </w:pPr>
            <w:hyperlink r:id="rId739">
              <w:r>
                <w:rPr>
                  <w:rFonts w:ascii="Times New Roman" w:cs="Times New Roman" w:eastAsia="Times New Roman" w:hAnsi="Times New Roman"/>
                  <w:sz w:val="18"/>
                  <w:szCs w:val="18"/>
                  <w:color w:val="0000FF"/>
                  <w:w w:val="99"/>
                </w:rPr>
                <w:t>Willis Towers Watson Public Limited Company Compensation Policy and Share Ownership</w:t>
              </w:r>
            </w:hyperlink>
          </w:p>
        </w:tc>
        <w:tc>
          <w:tcPr>
            <w:tcW w:w="180" w:type="dxa"/>
            <w:vAlign w:val="bottom"/>
            <w:tcBorders>
              <w:bottom w:val="single" w:sz="8" w:color="CFF0FC"/>
            </w:tcBorders>
            <w:gridSpan w:val="2"/>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10-Q</w:t>
            </w:r>
          </w:p>
        </w:tc>
        <w:tc>
          <w:tcPr>
            <w:tcW w:w="560" w:type="dxa"/>
            <w:vAlign w:val="bottom"/>
            <w:tcBorders>
              <w:bottom w:val="single" w:sz="8" w:color="CFF0FC"/>
            </w:tcBorders>
            <w:gridSpan w:val="2"/>
            <w:shd w:val="clear" w:color="auto" w:fill="CFF0FC"/>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240" w:type="dxa"/>
            <w:vAlign w:val="bottom"/>
            <w:tcBorders>
              <w:bottom w:val="single" w:sz="8" w:color="CFF0FC"/>
            </w:tcBorders>
            <w:gridSpan w:val="3"/>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July 28, 2022</w:t>
            </w:r>
          </w:p>
        </w:tc>
        <w:tc>
          <w:tcPr>
            <w:tcW w:w="12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60" w:type="dxa"/>
            <w:vAlign w:val="bottom"/>
            <w:gridSpan w:val="18"/>
            <w:shd w:val="clear" w:color="auto" w:fill="CFF0FC"/>
          </w:tcPr>
          <w:p>
            <w:pPr>
              <w:spacing w:after="0" w:line="195" w:lineRule="exact"/>
              <w:rPr>
                <w:rFonts w:ascii="Times New Roman" w:cs="Times New Roman" w:eastAsia="Times New Roman" w:hAnsi="Times New Roman"/>
                <w:sz w:val="18"/>
                <w:szCs w:val="18"/>
                <w:color w:val="0000FF"/>
              </w:rPr>
            </w:pPr>
            <w:hyperlink r:id="rId739">
              <w:r>
                <w:rPr>
                  <w:rFonts w:ascii="Times New Roman" w:cs="Times New Roman" w:eastAsia="Times New Roman" w:hAnsi="Times New Roman"/>
                  <w:sz w:val="18"/>
                  <w:szCs w:val="18"/>
                  <w:color w:val="0000FF"/>
                </w:rPr>
                <w:t>Guidelines for Non-Employee Directors (as amended May 2022)</w:t>
              </w:r>
            </w:hyperlink>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FF0FC"/>
            </w:tcBorders>
          </w:tcPr>
          <w:p>
            <w:pPr>
              <w:spacing w:after="0"/>
              <w:rPr>
                <w:sz w:val="16"/>
                <w:szCs w:val="16"/>
                <w:color w:val="auto"/>
              </w:rPr>
            </w:pPr>
          </w:p>
        </w:tc>
        <w:tc>
          <w:tcPr>
            <w:tcW w:w="640" w:type="dxa"/>
            <w:vAlign w:val="bottom"/>
            <w:tcBorders>
              <w:top w:val="single" w:sz="8" w:color="CFF0FC"/>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21.1</w:t>
            </w:r>
          </w:p>
        </w:tc>
        <w:tc>
          <w:tcPr>
            <w:tcW w:w="140" w:type="dxa"/>
            <w:vAlign w:val="bottom"/>
            <w:tcBorders>
              <w:top w:val="single" w:sz="8" w:color="CFF0FC"/>
            </w:tcBorders>
          </w:tcPr>
          <w:p>
            <w:pPr>
              <w:spacing w:after="0"/>
              <w:rPr>
                <w:sz w:val="16"/>
                <w:szCs w:val="16"/>
                <w:color w:val="auto"/>
              </w:rPr>
            </w:pPr>
          </w:p>
        </w:tc>
        <w:tc>
          <w:tcPr>
            <w:tcW w:w="4680" w:type="dxa"/>
            <w:vAlign w:val="bottom"/>
            <w:tcBorders>
              <w:top w:val="single" w:sz="8" w:color="0000FF"/>
            </w:tcBorders>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List of Subsidiaries</w:t>
            </w:r>
          </w:p>
        </w:tc>
        <w:tc>
          <w:tcPr>
            <w:tcW w:w="2180" w:type="dxa"/>
            <w:vAlign w:val="bottom"/>
            <w:tcBorders>
              <w:top w:val="single" w:sz="8" w:color="CFF0FC"/>
            </w:tcBorders>
            <w:gridSpan w:val="10"/>
          </w:tcPr>
          <w:p>
            <w:pPr>
              <w:spacing w:after="0"/>
              <w:rPr>
                <w:sz w:val="16"/>
                <w:szCs w:val="16"/>
                <w:color w:val="auto"/>
              </w:rPr>
            </w:pPr>
          </w:p>
        </w:tc>
        <w:tc>
          <w:tcPr>
            <w:tcW w:w="54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42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1080" w:type="dxa"/>
            <w:vAlign w:val="bottom"/>
            <w:tcBorders>
              <w:top w:val="single" w:sz="8" w:color="CFF0FC"/>
            </w:tcBorders>
          </w:tcPr>
          <w:p>
            <w:pPr>
              <w:spacing w:after="0"/>
              <w:rPr>
                <w:sz w:val="16"/>
                <w:szCs w:val="16"/>
                <w:color w:val="auto"/>
              </w:rPr>
            </w:pPr>
          </w:p>
        </w:tc>
        <w:tc>
          <w:tcPr>
            <w:tcW w:w="2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640" w:type="dxa"/>
            <w:vAlign w:val="bottom"/>
            <w:tcBorders>
              <w:top w:val="single" w:sz="8" w:color="CFF0FC"/>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1"/>
              </w:rPr>
              <w:t>X</w:t>
            </w:r>
          </w:p>
        </w:tc>
        <w:tc>
          <w:tcPr>
            <w:tcW w:w="2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760" w:type="dxa"/>
            <w:vAlign w:val="bottom"/>
            <w:tcBorders>
              <w:top w:val="single" w:sz="8" w:color="0000FF"/>
            </w:tcBorders>
          </w:tcPr>
          <w:p>
            <w:pPr>
              <w:spacing w:after="0"/>
              <w:rPr>
                <w:sz w:val="21"/>
                <w:szCs w:val="21"/>
                <w:color w:val="auto"/>
              </w:rPr>
            </w:pPr>
          </w:p>
        </w:tc>
        <w:tc>
          <w:tcPr>
            <w:tcW w:w="1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64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22.1</w:t>
            </w:r>
          </w:p>
        </w:tc>
        <w:tc>
          <w:tcPr>
            <w:tcW w:w="140" w:type="dxa"/>
            <w:vAlign w:val="bottom"/>
            <w:shd w:val="clear" w:color="auto" w:fill="CFF0FC"/>
          </w:tcPr>
          <w:p>
            <w:pPr>
              <w:spacing w:after="0"/>
              <w:rPr>
                <w:sz w:val="16"/>
                <w:szCs w:val="16"/>
                <w:color w:val="auto"/>
              </w:rPr>
            </w:pPr>
          </w:p>
        </w:tc>
        <w:tc>
          <w:tcPr>
            <w:tcW w:w="6860" w:type="dxa"/>
            <w:vAlign w:val="bottom"/>
            <w:gridSpan w:val="18"/>
            <w:shd w:val="clear" w:color="auto" w:fill="CFF0FC"/>
          </w:tcPr>
          <w:p>
            <w:pPr>
              <w:spacing w:after="0" w:line="189" w:lineRule="exact"/>
              <w:rPr>
                <w:rFonts w:ascii="Times New Roman" w:cs="Times New Roman" w:eastAsia="Times New Roman" w:hAnsi="Times New Roman"/>
                <w:sz w:val="18"/>
                <w:szCs w:val="18"/>
                <w:color w:val="0000FF"/>
              </w:rPr>
            </w:pPr>
            <w:hyperlink r:id="rId765">
              <w:r>
                <w:rPr>
                  <w:rFonts w:ascii="Times New Roman" w:cs="Times New Roman" w:eastAsia="Times New Roman" w:hAnsi="Times New Roman"/>
                  <w:sz w:val="18"/>
                  <w:szCs w:val="18"/>
                  <w:color w:val="0000FF"/>
                </w:rPr>
                <w:t>List of Issuers and Guarantor Subsidiaries</w:t>
              </w:r>
            </w:hyperlink>
          </w:p>
        </w:tc>
        <w:tc>
          <w:tcPr>
            <w:tcW w:w="54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10-Q</w:t>
            </w:r>
          </w:p>
        </w:tc>
        <w:tc>
          <w:tcPr>
            <w:tcW w:w="560" w:type="dxa"/>
            <w:vAlign w:val="bottom"/>
            <w:gridSpan w:val="2"/>
            <w:shd w:val="clear" w:color="auto" w:fill="CFF0FC"/>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rPr>
              <w:t>22.1</w:t>
            </w:r>
          </w:p>
        </w:tc>
        <w:tc>
          <w:tcPr>
            <w:tcW w:w="1240" w:type="dxa"/>
            <w:vAlign w:val="bottom"/>
            <w:gridSpan w:val="3"/>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July 28, 2022</w:t>
            </w: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Borders>
              <w:top w:val="single" w:sz="8" w:color="CFF0FC"/>
            </w:tcBorders>
            <w:shd w:val="clear" w:color="auto" w:fill="CFF0FC"/>
          </w:tcPr>
          <w:p>
            <w:pPr>
              <w:spacing w:after="0"/>
              <w:rPr>
                <w:sz w:val="21"/>
                <w:szCs w:val="21"/>
                <w:color w:val="auto"/>
              </w:rPr>
            </w:pPr>
          </w:p>
        </w:tc>
        <w:tc>
          <w:tcPr>
            <w:tcW w:w="640" w:type="dxa"/>
            <w:vAlign w:val="bottom"/>
            <w:tcBorders>
              <w:top w:val="single" w:sz="8" w:color="CFF0FC"/>
            </w:tcBorders>
            <w:shd w:val="clear" w:color="auto" w:fill="CFF0FC"/>
          </w:tcPr>
          <w:p>
            <w:pPr>
              <w:spacing w:after="0"/>
              <w:rPr>
                <w:sz w:val="21"/>
                <w:szCs w:val="21"/>
                <w:color w:val="auto"/>
              </w:rPr>
            </w:pPr>
          </w:p>
        </w:tc>
        <w:tc>
          <w:tcPr>
            <w:tcW w:w="140" w:type="dxa"/>
            <w:vAlign w:val="bottom"/>
            <w:tcBorders>
              <w:top w:val="single" w:sz="8" w:color="CFF0FC"/>
            </w:tcBorders>
            <w:shd w:val="clear" w:color="auto" w:fill="CFF0FC"/>
          </w:tcPr>
          <w:p>
            <w:pPr>
              <w:spacing w:after="0"/>
              <w:rPr>
                <w:sz w:val="21"/>
                <w:szCs w:val="21"/>
                <w:color w:val="auto"/>
              </w:rPr>
            </w:pPr>
          </w:p>
        </w:tc>
        <w:tc>
          <w:tcPr>
            <w:tcW w:w="360" w:type="dxa"/>
            <w:vAlign w:val="bottom"/>
            <w:tcBorders>
              <w:top w:val="single" w:sz="8" w:color="0000FF"/>
            </w:tcBorders>
            <w:shd w:val="clear" w:color="auto" w:fill="CFF0FC"/>
          </w:tcPr>
          <w:p>
            <w:pPr>
              <w:spacing w:after="0"/>
              <w:rPr>
                <w:sz w:val="21"/>
                <w:szCs w:val="21"/>
                <w:color w:val="auto"/>
              </w:rPr>
            </w:pPr>
          </w:p>
        </w:tc>
        <w:tc>
          <w:tcPr>
            <w:tcW w:w="280" w:type="dxa"/>
            <w:vAlign w:val="bottom"/>
            <w:tcBorders>
              <w:top w:val="single" w:sz="8" w:color="0000FF"/>
            </w:tcBorders>
            <w:shd w:val="clear" w:color="auto" w:fill="CFF0FC"/>
          </w:tcPr>
          <w:p>
            <w:pPr>
              <w:spacing w:after="0"/>
              <w:rPr>
                <w:sz w:val="21"/>
                <w:szCs w:val="21"/>
                <w:color w:val="auto"/>
              </w:rPr>
            </w:pPr>
          </w:p>
        </w:tc>
        <w:tc>
          <w:tcPr>
            <w:tcW w:w="760" w:type="dxa"/>
            <w:vAlign w:val="bottom"/>
            <w:tcBorders>
              <w:top w:val="single" w:sz="8" w:color="0000FF"/>
            </w:tcBorders>
            <w:shd w:val="clear" w:color="auto" w:fill="CFF0FC"/>
          </w:tcPr>
          <w:p>
            <w:pPr>
              <w:spacing w:after="0"/>
              <w:rPr>
                <w:sz w:val="21"/>
                <w:szCs w:val="21"/>
                <w:color w:val="auto"/>
              </w:rPr>
            </w:pPr>
          </w:p>
        </w:tc>
        <w:tc>
          <w:tcPr>
            <w:tcW w:w="1140" w:type="dxa"/>
            <w:vAlign w:val="bottom"/>
            <w:tcBorders>
              <w:top w:val="single" w:sz="8" w:color="0000FF"/>
            </w:tcBorders>
            <w:shd w:val="clear" w:color="auto" w:fill="CFF0FC"/>
          </w:tcPr>
          <w:p>
            <w:pPr>
              <w:spacing w:after="0"/>
              <w:rPr>
                <w:sz w:val="21"/>
                <w:szCs w:val="21"/>
                <w:color w:val="auto"/>
              </w:rPr>
            </w:pPr>
          </w:p>
        </w:tc>
        <w:tc>
          <w:tcPr>
            <w:tcW w:w="480" w:type="dxa"/>
            <w:vAlign w:val="bottom"/>
            <w:tcBorders>
              <w:top w:val="single" w:sz="8" w:color="0000FF"/>
            </w:tcBorders>
            <w:shd w:val="clear" w:color="auto" w:fill="CFF0FC"/>
          </w:tcPr>
          <w:p>
            <w:pPr>
              <w:spacing w:after="0"/>
              <w:rPr>
                <w:sz w:val="21"/>
                <w:szCs w:val="21"/>
                <w:color w:val="auto"/>
              </w:rPr>
            </w:pPr>
          </w:p>
        </w:tc>
        <w:tc>
          <w:tcPr>
            <w:tcW w:w="400" w:type="dxa"/>
            <w:vAlign w:val="bottom"/>
            <w:tcBorders>
              <w:top w:val="single" w:sz="8" w:color="CFF0FC"/>
            </w:tcBorders>
            <w:shd w:val="clear" w:color="auto" w:fill="CFF0FC"/>
          </w:tcPr>
          <w:p>
            <w:pPr>
              <w:spacing w:after="0"/>
              <w:rPr>
                <w:sz w:val="21"/>
                <w:szCs w:val="21"/>
                <w:color w:val="auto"/>
              </w:rPr>
            </w:pPr>
          </w:p>
        </w:tc>
        <w:tc>
          <w:tcPr>
            <w:tcW w:w="840" w:type="dxa"/>
            <w:vAlign w:val="bottom"/>
            <w:tcBorders>
              <w:top w:val="single" w:sz="8" w:color="CFF0FC"/>
            </w:tcBorders>
            <w:shd w:val="clear" w:color="auto" w:fill="CFF0FC"/>
          </w:tcPr>
          <w:p>
            <w:pPr>
              <w:spacing w:after="0"/>
              <w:rPr>
                <w:sz w:val="21"/>
                <w:szCs w:val="21"/>
                <w:color w:val="auto"/>
              </w:rPr>
            </w:pPr>
          </w:p>
        </w:tc>
        <w:tc>
          <w:tcPr>
            <w:tcW w:w="420" w:type="dxa"/>
            <w:vAlign w:val="bottom"/>
            <w:tcBorders>
              <w:top w:val="single" w:sz="8" w:color="CFF0FC"/>
            </w:tcBorders>
            <w:shd w:val="clear" w:color="auto" w:fill="CFF0FC"/>
          </w:tcPr>
          <w:p>
            <w:pPr>
              <w:spacing w:after="0"/>
              <w:rPr>
                <w:sz w:val="21"/>
                <w:szCs w:val="21"/>
                <w:color w:val="auto"/>
              </w:rPr>
            </w:pPr>
          </w:p>
        </w:tc>
        <w:tc>
          <w:tcPr>
            <w:tcW w:w="1420" w:type="dxa"/>
            <w:vAlign w:val="bottom"/>
            <w:tcBorders>
              <w:top w:val="single" w:sz="8" w:color="CFF0FC"/>
            </w:tcBorders>
            <w:shd w:val="clear" w:color="auto" w:fill="CFF0FC"/>
          </w:tcPr>
          <w:p>
            <w:pPr>
              <w:spacing w:after="0"/>
              <w:rPr>
                <w:sz w:val="21"/>
                <w:szCs w:val="21"/>
                <w:color w:val="auto"/>
              </w:rPr>
            </w:pPr>
          </w:p>
        </w:tc>
        <w:tc>
          <w:tcPr>
            <w:tcW w:w="260" w:type="dxa"/>
            <w:vAlign w:val="bottom"/>
            <w:tcBorders>
              <w:top w:val="single" w:sz="8" w:color="CFF0FC"/>
            </w:tcBorders>
            <w:shd w:val="clear" w:color="auto" w:fill="CFF0FC"/>
          </w:tcPr>
          <w:p>
            <w:pPr>
              <w:spacing w:after="0"/>
              <w:rPr>
                <w:sz w:val="21"/>
                <w:szCs w:val="21"/>
                <w:color w:val="auto"/>
              </w:rPr>
            </w:pPr>
          </w:p>
        </w:tc>
        <w:tc>
          <w:tcPr>
            <w:tcW w:w="80" w:type="dxa"/>
            <w:vAlign w:val="bottom"/>
            <w:tcBorders>
              <w:top w:val="single" w:sz="8" w:color="CFF0FC"/>
            </w:tcBorders>
            <w:shd w:val="clear" w:color="auto" w:fill="CFF0FC"/>
          </w:tcPr>
          <w:p>
            <w:pPr>
              <w:spacing w:after="0"/>
              <w:rPr>
                <w:sz w:val="21"/>
                <w:szCs w:val="21"/>
                <w:color w:val="auto"/>
              </w:rPr>
            </w:pPr>
          </w:p>
        </w:tc>
        <w:tc>
          <w:tcPr>
            <w:tcW w:w="60" w:type="dxa"/>
            <w:vAlign w:val="bottom"/>
            <w:tcBorders>
              <w:top w:val="single" w:sz="8" w:color="CFF0FC"/>
            </w:tcBorders>
            <w:shd w:val="clear" w:color="auto" w:fill="CFF0FC"/>
          </w:tcPr>
          <w:p>
            <w:pPr>
              <w:spacing w:after="0"/>
              <w:rPr>
                <w:sz w:val="21"/>
                <w:szCs w:val="21"/>
                <w:color w:val="auto"/>
              </w:rPr>
            </w:pPr>
          </w:p>
        </w:tc>
        <w:tc>
          <w:tcPr>
            <w:tcW w:w="40" w:type="dxa"/>
            <w:vAlign w:val="bottom"/>
            <w:tcBorders>
              <w:top w:val="single" w:sz="8" w:color="CFF0FC"/>
            </w:tcBorders>
            <w:shd w:val="clear" w:color="auto" w:fill="CFF0FC"/>
          </w:tcPr>
          <w:p>
            <w:pPr>
              <w:spacing w:after="0"/>
              <w:rPr>
                <w:sz w:val="21"/>
                <w:szCs w:val="21"/>
                <w:color w:val="auto"/>
              </w:rPr>
            </w:pPr>
          </w:p>
        </w:tc>
        <w:tc>
          <w:tcPr>
            <w:tcW w:w="40" w:type="dxa"/>
            <w:vAlign w:val="bottom"/>
            <w:tcBorders>
              <w:top w:val="single" w:sz="8" w:color="CFF0FC"/>
            </w:tcBorders>
            <w:shd w:val="clear" w:color="auto" w:fill="CFF0FC"/>
          </w:tcPr>
          <w:p>
            <w:pPr>
              <w:spacing w:after="0"/>
              <w:rPr>
                <w:sz w:val="21"/>
                <w:szCs w:val="21"/>
                <w:color w:val="auto"/>
              </w:rPr>
            </w:pPr>
          </w:p>
        </w:tc>
        <w:tc>
          <w:tcPr>
            <w:tcW w:w="60" w:type="dxa"/>
            <w:vAlign w:val="bottom"/>
            <w:tcBorders>
              <w:top w:val="single" w:sz="8" w:color="CFF0FC"/>
            </w:tcBorders>
            <w:shd w:val="clear" w:color="auto" w:fill="CFF0FC"/>
          </w:tcPr>
          <w:p>
            <w:pPr>
              <w:spacing w:after="0"/>
              <w:rPr>
                <w:sz w:val="21"/>
                <w:szCs w:val="21"/>
                <w:color w:val="auto"/>
              </w:rPr>
            </w:pPr>
          </w:p>
        </w:tc>
        <w:tc>
          <w:tcPr>
            <w:tcW w:w="40" w:type="dxa"/>
            <w:vAlign w:val="bottom"/>
            <w:tcBorders>
              <w:top w:val="single" w:sz="8" w:color="CFF0FC"/>
            </w:tcBorders>
            <w:shd w:val="clear" w:color="auto" w:fill="CFF0FC"/>
          </w:tcPr>
          <w:p>
            <w:pPr>
              <w:spacing w:after="0"/>
              <w:rPr>
                <w:sz w:val="21"/>
                <w:szCs w:val="21"/>
                <w:color w:val="auto"/>
              </w:rPr>
            </w:pPr>
          </w:p>
        </w:tc>
        <w:tc>
          <w:tcPr>
            <w:tcW w:w="40" w:type="dxa"/>
            <w:vAlign w:val="bottom"/>
            <w:tcBorders>
              <w:top w:val="single" w:sz="8" w:color="CFF0FC"/>
            </w:tcBorders>
            <w:shd w:val="clear" w:color="auto" w:fill="CFF0FC"/>
          </w:tcPr>
          <w:p>
            <w:pPr>
              <w:spacing w:after="0"/>
              <w:rPr>
                <w:sz w:val="21"/>
                <w:szCs w:val="21"/>
                <w:color w:val="auto"/>
              </w:rPr>
            </w:pPr>
          </w:p>
        </w:tc>
        <w:tc>
          <w:tcPr>
            <w:tcW w:w="140" w:type="dxa"/>
            <w:vAlign w:val="bottom"/>
            <w:tcBorders>
              <w:top w:val="single" w:sz="8" w:color="CFF0FC"/>
            </w:tcBorders>
            <w:shd w:val="clear" w:color="auto" w:fill="CFF0FC"/>
          </w:tcPr>
          <w:p>
            <w:pPr>
              <w:spacing w:after="0"/>
              <w:rPr>
                <w:sz w:val="21"/>
                <w:szCs w:val="21"/>
                <w:color w:val="auto"/>
              </w:rPr>
            </w:pPr>
          </w:p>
        </w:tc>
        <w:tc>
          <w:tcPr>
            <w:tcW w:w="540" w:type="dxa"/>
            <w:vAlign w:val="bottom"/>
            <w:tcBorders>
              <w:top w:val="single" w:sz="8" w:color="CFF0FC"/>
            </w:tcBorders>
            <w:shd w:val="clear" w:color="auto" w:fill="CFF0FC"/>
          </w:tcPr>
          <w:p>
            <w:pPr>
              <w:spacing w:after="0"/>
              <w:rPr>
                <w:sz w:val="21"/>
                <w:szCs w:val="21"/>
                <w:color w:val="auto"/>
              </w:rPr>
            </w:pPr>
          </w:p>
        </w:tc>
        <w:tc>
          <w:tcPr>
            <w:tcW w:w="140" w:type="dxa"/>
            <w:vAlign w:val="bottom"/>
            <w:tcBorders>
              <w:top w:val="single" w:sz="8" w:color="CFF0FC"/>
            </w:tcBorders>
            <w:shd w:val="clear" w:color="auto" w:fill="CFF0FC"/>
          </w:tcPr>
          <w:p>
            <w:pPr>
              <w:spacing w:after="0"/>
              <w:rPr>
                <w:sz w:val="21"/>
                <w:szCs w:val="21"/>
                <w:color w:val="auto"/>
              </w:rPr>
            </w:pPr>
          </w:p>
        </w:tc>
        <w:tc>
          <w:tcPr>
            <w:tcW w:w="420" w:type="dxa"/>
            <w:vAlign w:val="bottom"/>
            <w:tcBorders>
              <w:top w:val="single" w:sz="8" w:color="CFF0FC"/>
            </w:tcBorders>
            <w:shd w:val="clear" w:color="auto" w:fill="CFF0FC"/>
          </w:tcPr>
          <w:p>
            <w:pPr>
              <w:spacing w:after="0"/>
              <w:rPr>
                <w:sz w:val="21"/>
                <w:szCs w:val="21"/>
                <w:color w:val="auto"/>
              </w:rPr>
            </w:pPr>
          </w:p>
        </w:tc>
        <w:tc>
          <w:tcPr>
            <w:tcW w:w="140" w:type="dxa"/>
            <w:vAlign w:val="bottom"/>
            <w:tcBorders>
              <w:top w:val="single" w:sz="8" w:color="CFF0FC"/>
            </w:tcBorders>
            <w:shd w:val="clear" w:color="auto" w:fill="CFF0FC"/>
          </w:tcPr>
          <w:p>
            <w:pPr>
              <w:spacing w:after="0"/>
              <w:rPr>
                <w:sz w:val="21"/>
                <w:szCs w:val="21"/>
                <w:color w:val="auto"/>
              </w:rPr>
            </w:pPr>
          </w:p>
        </w:tc>
        <w:tc>
          <w:tcPr>
            <w:tcW w:w="108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120" w:type="dxa"/>
            <w:vAlign w:val="bottom"/>
            <w:tcBorders>
              <w:top w:val="single" w:sz="8" w:color="CFF0FC"/>
            </w:tcBorders>
            <w:shd w:val="clear" w:color="auto" w:fill="CFF0FC"/>
          </w:tcPr>
          <w:p>
            <w:pPr>
              <w:spacing w:after="0"/>
              <w:rPr>
                <w:sz w:val="21"/>
                <w:szCs w:val="21"/>
                <w:color w:val="auto"/>
              </w:rPr>
            </w:pPr>
          </w:p>
        </w:tc>
        <w:tc>
          <w:tcPr>
            <w:tcW w:w="640" w:type="dxa"/>
            <w:vAlign w:val="bottom"/>
            <w:tcBorders>
              <w:top w:val="single" w:sz="8" w:color="CFF0FC"/>
            </w:tcBorders>
            <w:shd w:val="clear" w:color="auto" w:fill="CFF0FC"/>
          </w:tcPr>
          <w:p>
            <w:pPr>
              <w:spacing w:after="0"/>
              <w:rPr>
                <w:sz w:val="21"/>
                <w:szCs w:val="21"/>
                <w:color w:val="auto"/>
              </w:rPr>
            </w:pPr>
          </w:p>
        </w:tc>
        <w:tc>
          <w:tcPr>
            <w:tcW w:w="20" w:type="dxa"/>
            <w:vAlign w:val="bottom"/>
            <w:tcBorders>
              <w:top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23.1</w:t>
            </w:r>
          </w:p>
        </w:tc>
        <w:tc>
          <w:tcPr>
            <w:tcW w:w="140" w:type="dxa"/>
            <w:vAlign w:val="bottom"/>
          </w:tcPr>
          <w:p>
            <w:pPr>
              <w:spacing w:after="0"/>
              <w:rPr>
                <w:sz w:val="16"/>
                <w:szCs w:val="16"/>
                <w:color w:val="auto"/>
              </w:rPr>
            </w:pPr>
          </w:p>
        </w:tc>
        <w:tc>
          <w:tcPr>
            <w:tcW w:w="686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Consent of Deloitte &amp; Touche LLP</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1"/>
              </w:rPr>
              <w:t>X</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760" w:type="dxa"/>
            <w:vAlign w:val="bottom"/>
            <w:tcBorders>
              <w:top w:val="single" w:sz="8" w:color="0000FF"/>
            </w:tcBorders>
          </w:tcPr>
          <w:p>
            <w:pPr>
              <w:spacing w:after="0"/>
              <w:rPr>
                <w:sz w:val="21"/>
                <w:szCs w:val="21"/>
                <w:color w:val="auto"/>
              </w:rPr>
            </w:pPr>
          </w:p>
        </w:tc>
        <w:tc>
          <w:tcPr>
            <w:tcW w:w="1140" w:type="dxa"/>
            <w:vAlign w:val="bottom"/>
            <w:tcBorders>
              <w:top w:val="single" w:sz="8" w:color="0000FF"/>
            </w:tcBorders>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140" w:type="dxa"/>
            <w:vAlign w:val="bottom"/>
            <w:tcBorders>
              <w:bottom w:val="single" w:sz="8" w:color="CFF0FC"/>
            </w:tcBorders>
            <w:shd w:val="clear" w:color="auto" w:fill="CFF0FC"/>
          </w:tcPr>
          <w:p>
            <w:pPr>
              <w:spacing w:after="0"/>
              <w:rPr>
                <w:sz w:val="16"/>
                <w:szCs w:val="16"/>
                <w:color w:val="auto"/>
              </w:rPr>
            </w:pPr>
          </w:p>
        </w:tc>
        <w:tc>
          <w:tcPr>
            <w:tcW w:w="6440" w:type="dxa"/>
            <w:vAlign w:val="bottom"/>
            <w:tcBorders>
              <w:bottom w:val="single" w:sz="8" w:color="0000FF"/>
            </w:tcBorders>
            <w:gridSpan w:val="11"/>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w w:val="99"/>
              </w:rPr>
              <w:t>Certification of the Registrant’s Chief Executive Officer, Carl A. Hess, pursuant to Rules</w:t>
            </w:r>
          </w:p>
        </w:tc>
        <w:tc>
          <w:tcPr>
            <w:tcW w:w="420" w:type="dxa"/>
            <w:vAlign w:val="bottom"/>
            <w:tcBorders>
              <w:bottom w:val="single" w:sz="8" w:color="CFF0FC"/>
            </w:tcBorders>
            <w:gridSpan w:val="7"/>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1"/>
              </w:rPr>
              <w:t>X</w:t>
            </w:r>
          </w:p>
        </w:tc>
        <w:tc>
          <w:tcPr>
            <w:tcW w:w="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500" w:type="dxa"/>
            <w:vAlign w:val="bottom"/>
            <w:tcBorders>
              <w:bottom w:val="single" w:sz="8" w:color="0000FF"/>
            </w:tcBorders>
            <w:gridSpan w:val="12"/>
            <w:shd w:val="clear" w:color="auto" w:fill="CFF0FC"/>
          </w:tcPr>
          <w:p>
            <w:pPr>
              <w:spacing w:after="0" w:line="195" w:lineRule="exact"/>
              <w:rPr>
                <w:sz w:val="20"/>
                <w:szCs w:val="20"/>
                <w:color w:val="auto"/>
              </w:rPr>
            </w:pPr>
            <w:r>
              <w:rPr>
                <w:rFonts w:ascii="Times New Roman" w:cs="Times New Roman" w:eastAsia="Times New Roman" w:hAnsi="Times New Roman"/>
                <w:sz w:val="18"/>
                <w:szCs w:val="18"/>
                <w:color w:val="0000FF"/>
              </w:rPr>
              <w:t>13a-14(a) and 15(d)-14(a) of the Securities Exchange Act of 1934, as adopted pursuant to</w:t>
            </w:r>
          </w:p>
        </w:tc>
        <w:tc>
          <w:tcPr>
            <w:tcW w:w="360" w:type="dxa"/>
            <w:vAlign w:val="bottom"/>
            <w:tcBorders>
              <w:bottom w:val="single" w:sz="8" w:color="CFF0FC"/>
            </w:tcBorders>
            <w:gridSpan w:val="6"/>
            <w:shd w:val="clear" w:color="auto" w:fill="CFF0FC"/>
          </w:tcPr>
          <w:p>
            <w:pPr>
              <w:spacing w:after="0"/>
              <w:rPr>
                <w:sz w:val="17"/>
                <w:szCs w:val="17"/>
                <w:color w:val="auto"/>
              </w:rPr>
            </w:pPr>
          </w:p>
        </w:tc>
        <w:tc>
          <w:tcPr>
            <w:tcW w:w="5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420" w:type="dxa"/>
            <w:vAlign w:val="bottom"/>
            <w:tcBorders>
              <w:bottom w:val="single" w:sz="8" w:color="0000FF"/>
            </w:tcBorders>
            <w:gridSpan w:val="6"/>
            <w:shd w:val="clear" w:color="auto" w:fill="CFF0FC"/>
          </w:tcPr>
          <w:p>
            <w:pPr>
              <w:spacing w:after="0" w:line="195" w:lineRule="exact"/>
              <w:rPr>
                <w:sz w:val="20"/>
                <w:szCs w:val="20"/>
                <w:color w:val="auto"/>
              </w:rPr>
            </w:pPr>
            <w:r>
              <w:rPr>
                <w:rFonts w:ascii="Times New Roman" w:cs="Times New Roman" w:eastAsia="Times New Roman" w:hAnsi="Times New Roman"/>
                <w:sz w:val="18"/>
                <w:szCs w:val="18"/>
                <w:color w:val="0000FF"/>
                <w:w w:val="99"/>
              </w:rPr>
              <w:t>Section 302 of the Sarbanes-Oxley Act of 2002</w:t>
            </w:r>
          </w:p>
        </w:tc>
        <w:tc>
          <w:tcPr>
            <w:tcW w:w="3440" w:type="dxa"/>
            <w:vAlign w:val="bottom"/>
            <w:tcBorders>
              <w:bottom w:val="single" w:sz="8" w:color="CFF0FC"/>
            </w:tcBorders>
            <w:gridSpan w:val="12"/>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6"/>
                <w:szCs w:val="16"/>
                <w:color w:val="auto"/>
              </w:rPr>
            </w:pPr>
          </w:p>
        </w:tc>
        <w:tc>
          <w:tcPr>
            <w:tcW w:w="6360" w:type="dxa"/>
            <w:vAlign w:val="bottom"/>
            <w:tcBorders>
              <w:bottom w:val="single" w:sz="8" w:color="0000FF"/>
            </w:tcBorders>
            <w:gridSpan w:val="10"/>
          </w:tcPr>
          <w:p>
            <w:pPr>
              <w:spacing w:after="0" w:line="189" w:lineRule="exact"/>
              <w:rPr>
                <w:sz w:val="20"/>
                <w:szCs w:val="20"/>
                <w:color w:val="auto"/>
              </w:rPr>
            </w:pPr>
            <w:r>
              <w:rPr>
                <w:rFonts w:ascii="Times New Roman" w:cs="Times New Roman" w:eastAsia="Times New Roman" w:hAnsi="Times New Roman"/>
                <w:sz w:val="18"/>
                <w:szCs w:val="18"/>
                <w:color w:val="0000FF"/>
                <w:w w:val="99"/>
              </w:rPr>
              <w:t>Certification of the Registrant’s Chief Financial Officer, Andrew J. Krasner, pursuant to</w:t>
            </w:r>
          </w:p>
        </w:tc>
        <w:tc>
          <w:tcPr>
            <w:tcW w:w="500" w:type="dxa"/>
            <w:vAlign w:val="bottom"/>
            <w:gridSpan w:val="8"/>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1"/>
              </w:rPr>
              <w:t>X</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00" w:type="dxa"/>
            <w:vAlign w:val="bottom"/>
            <w:tcBorders>
              <w:bottom w:val="single" w:sz="8" w:color="0000FF"/>
            </w:tcBorders>
            <w:gridSpan w:val="9"/>
          </w:tcPr>
          <w:p>
            <w:pPr>
              <w:spacing w:after="0" w:line="195" w:lineRule="exact"/>
              <w:rPr>
                <w:sz w:val="20"/>
                <w:szCs w:val="20"/>
                <w:color w:val="auto"/>
              </w:rPr>
            </w:pPr>
            <w:r>
              <w:rPr>
                <w:rFonts w:ascii="Times New Roman" w:cs="Times New Roman" w:eastAsia="Times New Roman" w:hAnsi="Times New Roman"/>
                <w:sz w:val="18"/>
                <w:szCs w:val="18"/>
                <w:color w:val="0000FF"/>
              </w:rPr>
              <w:t>Rules 13a-14(a) and 15(d)-14(a) of the Securities Exchange Act of 1934, as adopted</w:t>
            </w:r>
          </w:p>
        </w:tc>
        <w:tc>
          <w:tcPr>
            <w:tcW w:w="760" w:type="dxa"/>
            <w:vAlign w:val="bottom"/>
            <w:gridSpan w:val="9"/>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60" w:type="dxa"/>
            <w:vAlign w:val="bottom"/>
            <w:gridSpan w:val="18"/>
          </w:tcPr>
          <w:p>
            <w:pPr>
              <w:spacing w:after="0" w:line="195"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14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140" w:type="dxa"/>
            <w:vAlign w:val="bottom"/>
            <w:tcBorders>
              <w:bottom w:val="single" w:sz="8" w:color="CFF0FC"/>
            </w:tcBorders>
            <w:shd w:val="clear" w:color="auto" w:fill="CFF0FC"/>
          </w:tcPr>
          <w:p>
            <w:pPr>
              <w:spacing w:after="0"/>
              <w:rPr>
                <w:sz w:val="16"/>
                <w:szCs w:val="16"/>
                <w:color w:val="auto"/>
              </w:rPr>
            </w:pPr>
          </w:p>
        </w:tc>
        <w:tc>
          <w:tcPr>
            <w:tcW w:w="6720" w:type="dxa"/>
            <w:vAlign w:val="bottom"/>
            <w:tcBorders>
              <w:bottom w:val="single" w:sz="8" w:color="0000FF"/>
            </w:tcBorders>
            <w:gridSpan w:val="17"/>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w w:val="99"/>
              </w:rPr>
              <w:t>Certification of the Registrant’s Chief Executive Officer, Carl A. Hess, pursuant to 18 U.S.C.</w:t>
            </w:r>
          </w:p>
        </w:tc>
        <w:tc>
          <w:tcPr>
            <w:tcW w:w="14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60" w:type="dxa"/>
            <w:vAlign w:val="bottom"/>
            <w:gridSpan w:val="18"/>
            <w:shd w:val="clear" w:color="auto" w:fill="CFF0FC"/>
          </w:tcPr>
          <w:p>
            <w:pPr>
              <w:spacing w:after="0" w:line="195"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Sarbanes-Oxley Act of 2002</w:t>
            </w: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0000FF"/>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760" w:type="dxa"/>
            <w:vAlign w:val="bottom"/>
            <w:tcBorders>
              <w:top w:val="single" w:sz="8" w:color="0000FF"/>
            </w:tcBorders>
            <w:shd w:val="clear" w:color="auto" w:fill="CFF0FC"/>
          </w:tcPr>
          <w:p>
            <w:pPr>
              <w:spacing w:after="0"/>
              <w:rPr>
                <w:sz w:val="2"/>
                <w:szCs w:val="2"/>
                <w:color w:val="auto"/>
              </w:rPr>
            </w:pPr>
          </w:p>
        </w:tc>
        <w:tc>
          <w:tcPr>
            <w:tcW w:w="1140" w:type="dxa"/>
            <w:vAlign w:val="bottom"/>
            <w:tcBorders>
              <w:top w:val="single" w:sz="8" w:color="0000FF"/>
            </w:tcBorders>
            <w:shd w:val="clear" w:color="auto" w:fill="CFF0FC"/>
          </w:tcPr>
          <w:p>
            <w:pPr>
              <w:spacing w:after="0"/>
              <w:rPr>
                <w:sz w:val="2"/>
                <w:szCs w:val="2"/>
                <w:color w:val="auto"/>
              </w:rPr>
            </w:pPr>
          </w:p>
        </w:tc>
        <w:tc>
          <w:tcPr>
            <w:tcW w:w="480" w:type="dxa"/>
            <w:vAlign w:val="bottom"/>
            <w:tcBorders>
              <w:top w:val="single" w:sz="8" w:color="0000FF"/>
            </w:tcBorders>
            <w:shd w:val="clear" w:color="auto" w:fill="CFF0FC"/>
          </w:tcPr>
          <w:p>
            <w:pPr>
              <w:spacing w:after="0"/>
              <w:rPr>
                <w:sz w:val="2"/>
                <w:szCs w:val="2"/>
                <w:color w:val="auto"/>
              </w:rPr>
            </w:pPr>
          </w:p>
        </w:tc>
        <w:tc>
          <w:tcPr>
            <w:tcW w:w="400" w:type="dxa"/>
            <w:vAlign w:val="bottom"/>
            <w:tcBorders>
              <w:top w:val="single" w:sz="8" w:color="0000FF"/>
            </w:tcBorders>
            <w:shd w:val="clear" w:color="auto" w:fill="CFF0FC"/>
          </w:tcPr>
          <w:p>
            <w:pPr>
              <w:spacing w:after="0"/>
              <w:rPr>
                <w:sz w:val="2"/>
                <w:szCs w:val="2"/>
                <w:color w:val="auto"/>
              </w:rPr>
            </w:pPr>
          </w:p>
        </w:tc>
        <w:tc>
          <w:tcPr>
            <w:tcW w:w="840" w:type="dxa"/>
            <w:vAlign w:val="bottom"/>
            <w:tcBorders>
              <w:top w:val="single" w:sz="8" w:color="0000FF"/>
            </w:tcBorders>
            <w:shd w:val="clear" w:color="auto" w:fill="CFF0FC"/>
          </w:tcPr>
          <w:p>
            <w:pPr>
              <w:spacing w:after="0"/>
              <w:rPr>
                <w:sz w:val="2"/>
                <w:szCs w:val="2"/>
                <w:color w:val="auto"/>
              </w:rPr>
            </w:pPr>
          </w:p>
        </w:tc>
        <w:tc>
          <w:tcPr>
            <w:tcW w:w="420" w:type="dxa"/>
            <w:vAlign w:val="bottom"/>
            <w:tcBorders>
              <w:top w:val="single" w:sz="8" w:color="0000FF"/>
            </w:tcBorders>
            <w:shd w:val="clear" w:color="auto" w:fill="CFF0FC"/>
          </w:tcPr>
          <w:p>
            <w:pPr>
              <w:spacing w:after="0"/>
              <w:rPr>
                <w:sz w:val="2"/>
                <w:szCs w:val="2"/>
                <w:color w:val="auto"/>
              </w:rPr>
            </w:pPr>
          </w:p>
        </w:tc>
        <w:tc>
          <w:tcPr>
            <w:tcW w:w="1420" w:type="dxa"/>
            <w:vAlign w:val="bottom"/>
            <w:tcBorders>
              <w:top w:val="single" w:sz="8" w:color="0000FF"/>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0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6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16"/>
                <w:szCs w:val="16"/>
                <w:color w:val="auto"/>
              </w:rPr>
            </w:pPr>
          </w:p>
        </w:tc>
        <w:tc>
          <w:tcPr>
            <w:tcW w:w="6580" w:type="dxa"/>
            <w:vAlign w:val="bottom"/>
            <w:tcBorders>
              <w:bottom w:val="single" w:sz="8" w:color="0000FF"/>
            </w:tcBorders>
            <w:gridSpan w:val="14"/>
          </w:tcPr>
          <w:p>
            <w:pPr>
              <w:spacing w:after="0" w:line="189" w:lineRule="exact"/>
              <w:rPr>
                <w:sz w:val="20"/>
                <w:szCs w:val="20"/>
                <w:color w:val="auto"/>
              </w:rPr>
            </w:pPr>
            <w:r>
              <w:rPr>
                <w:rFonts w:ascii="Times New Roman" w:cs="Times New Roman" w:eastAsia="Times New Roman" w:hAnsi="Times New Roman"/>
                <w:sz w:val="18"/>
                <w:szCs w:val="18"/>
                <w:color w:val="0000FF"/>
                <w:w w:val="99"/>
              </w:rPr>
              <w:t>Certification of the Registrant’s Chief Financial Officer, Andrew J. Krasner, pursuant to 18</w:t>
            </w:r>
          </w:p>
        </w:tc>
        <w:tc>
          <w:tcPr>
            <w:tcW w:w="280" w:type="dxa"/>
            <w:vAlign w:val="bottom"/>
            <w:gridSpan w:val="4"/>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60" w:type="dxa"/>
            <w:vAlign w:val="bottom"/>
            <w:gridSpan w:val="18"/>
          </w:tcPr>
          <w:p>
            <w:pPr>
              <w:spacing w:after="0" w:line="195" w:lineRule="exact"/>
              <w:rPr>
                <w:sz w:val="20"/>
                <w:szCs w:val="20"/>
                <w:color w:val="auto"/>
              </w:rPr>
            </w:pPr>
            <w:r>
              <w:rPr>
                <w:rFonts w:ascii="Times New Roman" w:cs="Times New Roman" w:eastAsia="Times New Roman" w:hAnsi="Times New Roman"/>
                <w:sz w:val="18"/>
                <w:szCs w:val="18"/>
                <w:color w:val="0000FF"/>
              </w:rPr>
              <w:t>U.S.C. Section 1350, as adopted pursuant to Section 906 of the Sarbanes-Oxley Act of 2002</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14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42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shd w:val="clear" w:color="auto" w:fill="CFF0FC"/>
          </w:tcPr>
          <w:p>
            <w:pPr>
              <w:spacing w:after="0"/>
              <w:rPr>
                <w:sz w:val="18"/>
                <w:szCs w:val="18"/>
                <w:color w:val="auto"/>
              </w:rPr>
            </w:pP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40" w:type="dxa"/>
            <w:vAlign w:val="bottom"/>
            <w:shd w:val="clear" w:color="auto" w:fill="CFF0FC"/>
          </w:tcPr>
          <w:p>
            <w:pPr>
              <w:spacing w:after="0"/>
              <w:rPr>
                <w:sz w:val="18"/>
                <w:szCs w:val="18"/>
                <w:color w:val="auto"/>
              </w:rPr>
            </w:pPr>
          </w:p>
        </w:tc>
        <w:tc>
          <w:tcPr>
            <w:tcW w:w="6860" w:type="dxa"/>
            <w:vAlign w:val="bottom"/>
            <w:gridSpan w:val="18"/>
            <w:shd w:val="clear" w:color="auto" w:fill="CFF0FC"/>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w:t>
            </w: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60" w:type="dxa"/>
            <w:vAlign w:val="bottom"/>
            <w:gridSpan w:val="18"/>
            <w:shd w:val="clear" w:color="auto" w:fill="CFF0FC"/>
          </w:tcPr>
          <w:p>
            <w:pPr>
              <w:spacing w:after="0"/>
              <w:rPr>
                <w:sz w:val="20"/>
                <w:szCs w:val="20"/>
                <w:color w:val="auto"/>
              </w:rPr>
            </w:pPr>
            <w:r>
              <w:rPr>
                <w:rFonts w:ascii="Times New Roman" w:cs="Times New Roman" w:eastAsia="Times New Roman" w:hAnsi="Times New Roman"/>
                <w:sz w:val="18"/>
                <w:szCs w:val="18"/>
                <w:color w:val="auto"/>
              </w:rPr>
              <w:t>Data File because XBRL tags are embedded within the Inline XBRL document</w:t>
            </w:r>
          </w:p>
        </w:tc>
        <w:tc>
          <w:tcPr>
            <w:tcW w:w="5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101.SC</w:t>
            </w:r>
          </w:p>
        </w:tc>
        <w:tc>
          <w:tcPr>
            <w:tcW w:w="140" w:type="dxa"/>
            <w:vAlign w:val="bottom"/>
          </w:tcPr>
          <w:p>
            <w:pPr>
              <w:spacing w:after="0"/>
              <w:rPr>
                <w:sz w:val="18"/>
                <w:szCs w:val="18"/>
                <w:color w:val="auto"/>
              </w:rPr>
            </w:pPr>
          </w:p>
        </w:tc>
        <w:tc>
          <w:tcPr>
            <w:tcW w:w="68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FF0FC"/>
          </w:tcPr>
          <w:p>
            <w:pPr>
              <w:spacing w:after="0"/>
              <w:rPr>
                <w:sz w:val="18"/>
                <w:szCs w:val="18"/>
                <w:color w:val="auto"/>
              </w:rPr>
            </w:pP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101.CA</w:t>
            </w:r>
          </w:p>
        </w:tc>
        <w:tc>
          <w:tcPr>
            <w:tcW w:w="140" w:type="dxa"/>
            <w:vAlign w:val="bottom"/>
            <w:shd w:val="clear" w:color="auto" w:fill="CFF0FC"/>
          </w:tcPr>
          <w:p>
            <w:pPr>
              <w:spacing w:after="0"/>
              <w:rPr>
                <w:sz w:val="18"/>
                <w:szCs w:val="18"/>
                <w:color w:val="auto"/>
              </w:rPr>
            </w:pPr>
          </w:p>
        </w:tc>
        <w:tc>
          <w:tcPr>
            <w:tcW w:w="6860" w:type="dxa"/>
            <w:vAlign w:val="bottom"/>
            <w:gridSpan w:val="18"/>
            <w:shd w:val="clear" w:color="auto" w:fill="CFF0FC"/>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shd w:val="clear" w:color="auto" w:fill="CFF0FC"/>
          </w:tcPr>
          <w:p>
            <w:pPr>
              <w:spacing w:after="0"/>
              <w:rPr>
                <w:sz w:val="21"/>
                <w:szCs w:val="21"/>
                <w:color w:val="auto"/>
              </w:rPr>
            </w:pP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0"/>
              </w:rPr>
              <w:t>L</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101.DE</w:t>
            </w:r>
          </w:p>
        </w:tc>
        <w:tc>
          <w:tcPr>
            <w:tcW w:w="140" w:type="dxa"/>
            <w:vAlign w:val="bottom"/>
          </w:tcPr>
          <w:p>
            <w:pPr>
              <w:spacing w:after="0"/>
              <w:rPr>
                <w:sz w:val="18"/>
                <w:szCs w:val="18"/>
                <w:color w:val="auto"/>
              </w:rPr>
            </w:pPr>
          </w:p>
        </w:tc>
        <w:tc>
          <w:tcPr>
            <w:tcW w:w="68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FF0FC"/>
          </w:tcPr>
          <w:p>
            <w:pPr>
              <w:spacing w:after="0"/>
              <w:rPr>
                <w:sz w:val="18"/>
                <w:szCs w:val="18"/>
                <w:color w:val="auto"/>
              </w:rPr>
            </w:pP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101.LA</w:t>
            </w:r>
          </w:p>
        </w:tc>
        <w:tc>
          <w:tcPr>
            <w:tcW w:w="140" w:type="dxa"/>
            <w:vAlign w:val="bottom"/>
            <w:shd w:val="clear" w:color="auto" w:fill="CFF0FC"/>
          </w:tcPr>
          <w:p>
            <w:pPr>
              <w:spacing w:after="0"/>
              <w:rPr>
                <w:sz w:val="18"/>
                <w:szCs w:val="18"/>
                <w:color w:val="auto"/>
              </w:rPr>
            </w:pPr>
          </w:p>
        </w:tc>
        <w:tc>
          <w:tcPr>
            <w:tcW w:w="6860" w:type="dxa"/>
            <w:vAlign w:val="bottom"/>
            <w:gridSpan w:val="18"/>
            <w:shd w:val="clear" w:color="auto" w:fill="CFF0FC"/>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shd w:val="clear" w:color="auto" w:fill="CFF0FC"/>
          </w:tcPr>
          <w:p>
            <w:pPr>
              <w:spacing w:after="0"/>
              <w:rPr>
                <w:sz w:val="21"/>
                <w:szCs w:val="21"/>
                <w:color w:val="auto"/>
              </w:rPr>
            </w:pP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B</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140" w:type="dxa"/>
            <w:vAlign w:val="bottom"/>
          </w:tcPr>
          <w:p>
            <w:pPr>
              <w:spacing w:after="0"/>
              <w:rPr>
                <w:sz w:val="20"/>
                <w:szCs w:val="20"/>
                <w:color w:val="auto"/>
              </w:rPr>
            </w:pPr>
          </w:p>
        </w:tc>
        <w:tc>
          <w:tcPr>
            <w:tcW w:w="68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FF0FC"/>
          </w:tcPr>
          <w:p>
            <w:pPr>
              <w:spacing w:after="0"/>
              <w:rPr>
                <w:sz w:val="20"/>
                <w:szCs w:val="20"/>
                <w:color w:val="auto"/>
              </w:rPr>
            </w:pP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140" w:type="dxa"/>
            <w:vAlign w:val="bottom"/>
            <w:shd w:val="clear" w:color="auto" w:fill="CFF0FC"/>
          </w:tcPr>
          <w:p>
            <w:pPr>
              <w:spacing w:after="0"/>
              <w:rPr>
                <w:sz w:val="20"/>
                <w:szCs w:val="20"/>
                <w:color w:val="auto"/>
              </w:rPr>
            </w:pPr>
          </w:p>
        </w:tc>
        <w:tc>
          <w:tcPr>
            <w:tcW w:w="6860" w:type="dxa"/>
            <w:vAlign w:val="bottom"/>
            <w:gridSpan w:val="18"/>
            <w:shd w:val="clear" w:color="auto" w:fill="CFF0FC"/>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5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both"/>
        <w:ind w:firstLine="8"/>
        <w:spacing w:after="0" w:line="257" w:lineRule="auto"/>
        <w:tabs>
          <w:tab w:leader="none" w:pos="2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Any exhibits furnished herewith (including the certifications furnished in Exhibits 32.1 and 32.2) are deemed to accompany this Annual Report on Form 10-K and will not be deemed “filed” for purposes of Section 18 of the Securities Exchange Act of 1934, as amended, or otherwise subject to the liability of that section, except to the extent that the registrant specifically incorporates it by reference.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 contract or compensatory plan or arrangement.</w:t>
      </w:r>
    </w:p>
    <w:p>
      <w:pPr>
        <w:spacing w:after="0" w:line="8" w:lineRule="exact"/>
        <w:rPr>
          <w:rFonts w:ascii="Times New Roman" w:cs="Times New Roman" w:eastAsia="Times New Roman" w:hAnsi="Times New Roman"/>
          <w:sz w:val="18"/>
          <w:szCs w:val="18"/>
          <w:color w:val="auto"/>
        </w:rPr>
      </w:pPr>
    </w:p>
    <w:p>
      <w:pPr>
        <w:ind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of the exhibits and schedules to this Exhibit have been omitted in accordance with Regulation S-K Item 601(a)(5). We agree to furnish a copy of all omitted exhibits and schedules to the SEC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-840740</wp:posOffset>
            </wp:positionV>
            <wp:extent cx="95059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66">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06"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All exhibits that are incorporated by reference herein to a filing with the SEC are filed under SEC File No. 001-16503, except for filings made more than six years ago which are filed under: SEC File No. 001-16503, for any filings that were made by Willis Group Holdings or the Company; SEC File No. 001-34594, for any filings that were made by Towers Watson; and SEC File No. 001-16159, for any filings that were made by Watson Wyatt Worldwide.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8"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22" w:right="1440" w:bottom="1440" w:gutter="0" w:footer="0" w:header="0"/>
        </w:sectPr>
      </w:pPr>
    </w:p>
    <w:bookmarkStart w:id="136" w:name="page137"/>
    <w:bookmarkEnd w:id="136"/>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WILLIS TOWERS WATSON PUBLIC LIMITED COMPANY</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(REGISTRANT)</w:t>
      </w:r>
    </w:p>
    <w:p>
      <w:pPr>
        <w:spacing w:after="0" w:line="260" w:lineRule="exact"/>
        <w:rPr>
          <w:sz w:val="20"/>
          <w:szCs w:val="20"/>
          <w:color w:val="auto"/>
        </w:rPr>
      </w:pPr>
    </w:p>
    <w:p>
      <w:pPr>
        <w:ind w:left="6040"/>
        <w:spacing w:after="0"/>
        <w:tabs>
          <w:tab w:leader="none" w:pos="8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Carl 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4106545</wp:posOffset>
            </wp:positionH>
            <wp:positionV relativeFrom="paragraph">
              <wp:posOffset>26035</wp:posOffset>
            </wp:positionV>
            <wp:extent cx="303085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69">
                      <a:extLst>
                        <a:ext uri="{28A0092B-C50C-407E-A947-70E740481C1C}"/>
                      </a:extLst>
                    </a:blip>
                    <a:srcRect/>
                    <a:stretch>
                      <a:fillRect/>
                    </a:stretch>
                  </pic:blipFill>
                  <pic:spPr bwMode="auto">
                    <a:xfrm>
                      <a:off x="0" y="0"/>
                      <a:ext cx="3030855" cy="8255"/>
                    </a:xfrm>
                    <a:prstGeom prst="rect">
                      <a:avLst/>
                    </a:prstGeom>
                    <a:noFill/>
                  </pic:spPr>
                </pic:pic>
              </a:graphicData>
            </a:graphic>
          </wp:anchor>
        </w:drawing>
      </w:r>
    </w:p>
    <w:p>
      <w:pPr>
        <w:spacing w:after="0" w:line="29"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8"/>
          <w:szCs w:val="18"/>
          <w:color w:val="auto"/>
        </w:rPr>
        <w:t>Carl Hess</w:t>
      </w:r>
    </w:p>
    <w:p>
      <w:pPr>
        <w:spacing w:after="0" w:line="34"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2023</w:t>
      </w:r>
    </w:p>
    <w:p>
      <w:pPr>
        <w:spacing w:after="0" w:line="17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w:t>
      </w:r>
    </w:p>
    <w:p>
      <w:pPr>
        <w:sectPr>
          <w:pgSz w:w="11900" w:h="16838" w:orient="portrait"/>
          <w:cols w:equalWidth="0" w:num="1">
            <w:col w:w="11160"/>
          </w:cols>
          <w:pgMar w:left="320" w:top="360" w:right="419" w:bottom="1440" w:gutter="0" w:footer="0" w:header="0"/>
        </w:sectPr>
      </w:pPr>
    </w:p>
    <w:p>
      <w:pPr>
        <w:spacing w:after="0" w:line="32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/s/ Carl Hess</w:t>
      </w:r>
    </w:p>
    <w:p>
      <w:pPr>
        <w:spacing w:after="0" w:line="3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Carl 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0202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70">
                      <a:extLst>
                        <a:ext uri="{28A0092B-C50C-407E-A947-70E740481C1C}"/>
                      </a:extLst>
                    </a:blip>
                    <a:srcRect/>
                    <a:stretch>
                      <a:fillRect/>
                    </a:stretch>
                  </pic:blipFill>
                  <pic:spPr bwMode="auto">
                    <a:xfrm>
                      <a:off x="0" y="0"/>
                      <a:ext cx="3502025" cy="8255"/>
                    </a:xfrm>
                    <a:prstGeom prst="rect">
                      <a:avLst/>
                    </a:prstGeom>
                    <a:noFill/>
                  </pic:spPr>
                </pic:pic>
              </a:graphicData>
            </a:graphic>
          </wp:anchor>
        </w:drawing>
      </w:r>
    </w:p>
    <w:p>
      <w:pPr>
        <w:spacing w:after="0" w:line="7"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p>
      <w:pPr>
        <w:spacing w:after="0" w:line="9"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2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/s/ Joseph Kurpis</w:t>
      </w:r>
    </w:p>
    <w:p>
      <w:pPr>
        <w:spacing w:after="0" w:line="3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Joseph Kurpis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02025"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71">
                      <a:extLst>
                        <a:ext uri="{28A0092B-C50C-407E-A947-70E740481C1C}"/>
                      </a:extLst>
                    </a:blip>
                    <a:srcRect/>
                    <a:stretch>
                      <a:fillRect/>
                    </a:stretch>
                  </pic:blipFill>
                  <pic:spPr bwMode="auto">
                    <a:xfrm>
                      <a:off x="0" y="0"/>
                      <a:ext cx="3502025" cy="8255"/>
                    </a:xfrm>
                    <a:prstGeom prst="rect">
                      <a:avLst/>
                    </a:prstGeom>
                    <a:noFill/>
                  </pic:spPr>
                </pic:pic>
              </a:graphicData>
            </a:graphic>
          </wp:anchor>
        </w:drawing>
      </w:r>
    </w:p>
    <w:p>
      <w:pPr>
        <w:spacing w:after="0" w:line="7"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7"/>
          <w:szCs w:val="17"/>
          <w:i w:val="1"/>
          <w:iCs w:val="1"/>
          <w:color w:val="auto"/>
        </w:rPr>
        <w:t>Principal Accounting Officer and Controller</w:t>
      </w:r>
    </w:p>
    <w:p>
      <w:pPr>
        <w:spacing w:after="0" w:line="23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/s/ Dame Inga Beale</w:t>
      </w:r>
    </w:p>
    <w:p>
      <w:pPr>
        <w:spacing w:after="0" w:line="36"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Dame Inga Beale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02025"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72">
                      <a:extLst>
                        <a:ext uri="{28A0092B-C50C-407E-A947-70E740481C1C}"/>
                      </a:extLst>
                    </a:blip>
                    <a:srcRect/>
                    <a:stretch>
                      <a:fillRect/>
                    </a:stretch>
                  </pic:blipFill>
                  <pic:spPr bwMode="auto">
                    <a:xfrm>
                      <a:off x="0" y="0"/>
                      <a:ext cx="3502025" cy="8255"/>
                    </a:xfrm>
                    <a:prstGeom prst="rect">
                      <a:avLst/>
                    </a:prstGeom>
                    <a:noFill/>
                  </pic:spPr>
                </pic:pic>
              </a:graphicData>
            </a:graphic>
          </wp:anchor>
        </w:drawing>
      </w:r>
    </w:p>
    <w:p>
      <w:pPr>
        <w:spacing w:after="0" w:line="7"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2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 Michael Hammond</w:t>
      </w:r>
    </w:p>
    <w:p>
      <w:pPr>
        <w:spacing w:after="0" w:line="36"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Michael Hammond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0202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73">
                      <a:extLst>
                        <a:ext uri="{28A0092B-C50C-407E-A947-70E740481C1C}"/>
                      </a:extLst>
                    </a:blip>
                    <a:srcRect/>
                    <a:stretch>
                      <a:fillRect/>
                    </a:stretch>
                  </pic:blipFill>
                  <pic:spPr bwMode="auto">
                    <a:xfrm>
                      <a:off x="0" y="0"/>
                      <a:ext cx="3502025" cy="8255"/>
                    </a:xfrm>
                    <a:prstGeom prst="rect">
                      <a:avLst/>
                    </a:prstGeom>
                    <a:noFill/>
                  </pic:spPr>
                </pic:pic>
              </a:graphicData>
            </a:graphic>
          </wp:anchor>
        </w:drawing>
      </w:r>
    </w:p>
    <w:p>
      <w:pPr>
        <w:spacing w:after="0" w:line="7"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22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/s/ Linda Rabbitt</w:t>
      </w:r>
    </w:p>
    <w:p>
      <w:pPr>
        <w:spacing w:after="0" w:line="3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Linda Rabbitt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02025"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74">
                      <a:extLst>
                        <a:ext uri="{28A0092B-C50C-407E-A947-70E740481C1C}"/>
                      </a:extLst>
                    </a:blip>
                    <a:srcRect/>
                    <a:stretch>
                      <a:fillRect/>
                    </a:stretch>
                  </pic:blipFill>
                  <pic:spPr bwMode="auto">
                    <a:xfrm>
                      <a:off x="0" y="0"/>
                      <a:ext cx="3502025" cy="8255"/>
                    </a:xfrm>
                    <a:prstGeom prst="rect">
                      <a:avLst/>
                    </a:prstGeom>
                    <a:noFill/>
                  </pic:spPr>
                </pic:pic>
              </a:graphicData>
            </a:graphic>
          </wp:anchor>
        </w:drawing>
      </w:r>
    </w:p>
    <w:p>
      <w:pPr>
        <w:spacing w:after="0" w:line="7"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220"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/s/ Michelle Swanback</w:t>
      </w:r>
    </w:p>
    <w:p>
      <w:pPr>
        <w:spacing w:after="0" w:line="36"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Michelle Swanback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0202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75">
                      <a:extLst>
                        <a:ext uri="{28A0092B-C50C-407E-A947-70E740481C1C}"/>
                      </a:extLst>
                    </a:blip>
                    <a:srcRect/>
                    <a:stretch>
                      <a:fillRect/>
                    </a:stretch>
                  </pic:blipFill>
                  <pic:spPr bwMode="auto">
                    <a:xfrm>
                      <a:off x="0" y="0"/>
                      <a:ext cx="3502025" cy="8255"/>
                    </a:xfrm>
                    <a:prstGeom prst="rect">
                      <a:avLst/>
                    </a:prstGeom>
                    <a:noFill/>
                  </pic:spPr>
                </pic:pic>
              </a:graphicData>
            </a:graphic>
          </wp:anchor>
        </w:drawing>
      </w:r>
    </w:p>
    <w:p>
      <w:pPr>
        <w:spacing w:after="0" w:line="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 Andrew Krasner</w:t>
      </w:r>
    </w:p>
    <w:p>
      <w:pPr>
        <w:spacing w:after="0" w:line="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Andrew Krasner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-1206500</wp:posOffset>
            </wp:positionH>
            <wp:positionV relativeFrom="paragraph">
              <wp:posOffset>-127635</wp:posOffset>
            </wp:positionV>
            <wp:extent cx="349377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76">
                      <a:extLst>
                        <a:ext uri="{28A0092B-C50C-407E-A947-70E740481C1C}"/>
                      </a:extLst>
                    </a:blip>
                    <a:srcRect/>
                    <a:stretch>
                      <a:fillRect/>
                    </a:stretch>
                  </pic:blipFill>
                  <pic:spPr bwMode="auto">
                    <a:xfrm>
                      <a:off x="0" y="0"/>
                      <a:ext cx="34937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 Fumbi Chima</w:t>
      </w:r>
    </w:p>
    <w:p>
      <w:pPr>
        <w:spacing w:after="0" w:line="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Fumbi Chima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-1206500</wp:posOffset>
            </wp:positionH>
            <wp:positionV relativeFrom="paragraph">
              <wp:posOffset>-127635</wp:posOffset>
            </wp:positionV>
            <wp:extent cx="349377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77">
                      <a:extLst>
                        <a:ext uri="{28A0092B-C50C-407E-A947-70E740481C1C}"/>
                      </a:extLst>
                    </a:blip>
                    <a:srcRect/>
                    <a:stretch>
                      <a:fillRect/>
                    </a:stretch>
                  </pic:blipFill>
                  <pic:spPr bwMode="auto">
                    <a:xfrm>
                      <a:off x="0" y="0"/>
                      <a:ext cx="3493770" cy="8255"/>
                    </a:xfrm>
                    <a:prstGeom prst="rect">
                      <a:avLst/>
                    </a:prstGeom>
                    <a:noFill/>
                  </pic:spPr>
                </pic:pic>
              </a:graphicData>
            </a:graphic>
          </wp:anchor>
        </w:drawing>
      </w:r>
    </w:p>
    <w:p>
      <w:pPr>
        <w:spacing w:after="0" w:line="7" w:lineRule="exact"/>
        <w:rPr>
          <w:sz w:val="20"/>
          <w:szCs w:val="20"/>
          <w:color w:val="auto"/>
        </w:rPr>
      </w:pPr>
    </w:p>
    <w:p>
      <w:pPr>
        <w:jc w:val="center"/>
        <w:ind w:right="182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2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 Brendan O’Neill</w:t>
      </w:r>
    </w:p>
    <w:p>
      <w:pPr>
        <w:spacing w:after="0" w:line="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Brendan O’Neill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-1206500</wp:posOffset>
            </wp:positionH>
            <wp:positionV relativeFrom="paragraph">
              <wp:posOffset>-127635</wp:posOffset>
            </wp:positionV>
            <wp:extent cx="349377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78">
                      <a:extLst>
                        <a:ext uri="{28A0092B-C50C-407E-A947-70E740481C1C}"/>
                      </a:extLst>
                    </a:blip>
                    <a:srcRect/>
                    <a:stretch>
                      <a:fillRect/>
                    </a:stretch>
                  </pic:blipFill>
                  <pic:spPr bwMode="auto">
                    <a:xfrm>
                      <a:off x="0" y="0"/>
                      <a:ext cx="3493770" cy="8255"/>
                    </a:xfrm>
                    <a:prstGeom prst="rect">
                      <a:avLst/>
                    </a:prstGeom>
                    <a:noFill/>
                  </pic:spPr>
                </pic:pic>
              </a:graphicData>
            </a:graphic>
          </wp:anchor>
        </w:drawing>
      </w:r>
    </w:p>
    <w:p>
      <w:pPr>
        <w:spacing w:after="0" w:line="7" w:lineRule="exact"/>
        <w:rPr>
          <w:sz w:val="20"/>
          <w:szCs w:val="20"/>
          <w:color w:val="auto"/>
        </w:rPr>
      </w:pPr>
    </w:p>
    <w:p>
      <w:pPr>
        <w:jc w:val="center"/>
        <w:ind w:right="182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 Paul Reilly</w:t>
      </w:r>
    </w:p>
    <w:p>
      <w:pPr>
        <w:spacing w:after="0" w:line="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Paul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-1206500</wp:posOffset>
            </wp:positionH>
            <wp:positionV relativeFrom="paragraph">
              <wp:posOffset>-127635</wp:posOffset>
            </wp:positionV>
            <wp:extent cx="349377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79">
                      <a:extLst>
                        <a:ext uri="{28A0092B-C50C-407E-A947-70E740481C1C}"/>
                      </a:extLst>
                    </a:blip>
                    <a:srcRect/>
                    <a:stretch>
                      <a:fillRect/>
                    </a:stretch>
                  </pic:blipFill>
                  <pic:spPr bwMode="auto">
                    <a:xfrm>
                      <a:off x="0" y="0"/>
                      <a:ext cx="3493770" cy="8255"/>
                    </a:xfrm>
                    <a:prstGeom prst="rect">
                      <a:avLst/>
                    </a:prstGeom>
                    <a:noFill/>
                  </pic:spPr>
                </pic:pic>
              </a:graphicData>
            </a:graphic>
          </wp:anchor>
        </w:drawing>
      </w:r>
    </w:p>
    <w:p>
      <w:pPr>
        <w:spacing w:after="0" w:line="7" w:lineRule="exact"/>
        <w:rPr>
          <w:sz w:val="20"/>
          <w:szCs w:val="20"/>
          <w:color w:val="auto"/>
        </w:rPr>
      </w:pPr>
    </w:p>
    <w:p>
      <w:pPr>
        <w:jc w:val="center"/>
        <w:ind w:right="182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2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/s/ Paul Thomas</w:t>
      </w:r>
    </w:p>
    <w:p>
      <w:pPr>
        <w:spacing w:after="0" w:line="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Paul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-1206500</wp:posOffset>
            </wp:positionH>
            <wp:positionV relativeFrom="paragraph">
              <wp:posOffset>-127635</wp:posOffset>
            </wp:positionV>
            <wp:extent cx="349377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80">
                      <a:extLst>
                        <a:ext uri="{28A0092B-C50C-407E-A947-70E740481C1C}"/>
                      </a:extLst>
                    </a:blip>
                    <a:srcRect/>
                    <a:stretch>
                      <a:fillRect/>
                    </a:stretch>
                  </pic:blipFill>
                  <pic:spPr bwMode="auto">
                    <a:xfrm>
                      <a:off x="0" y="0"/>
                      <a:ext cx="3493770" cy="8255"/>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200" w:lineRule="exact"/>
        <w:rPr>
          <w:sz w:val="20"/>
          <w:szCs w:val="20"/>
          <w:color w:val="auto"/>
        </w:rPr>
      </w:pPr>
    </w:p>
    <w:p>
      <w:pPr>
        <w:sectPr>
          <w:pgSz w:w="11900" w:h="16838" w:orient="portrait"/>
          <w:cols w:equalWidth="0" w:num="2">
            <w:col w:w="6920" w:space="720"/>
            <w:col w:w="3520"/>
          </w:cols>
          <w:pgMar w:left="320" w:top="360" w:right="419" w:bottom="1440" w:gutter="0" w:footer="0" w:header="0"/>
          <w:type w:val="continuous"/>
        </w:sectPr>
      </w:pPr>
    </w:p>
    <w:p>
      <w:pPr>
        <w:spacing w:after="0" w:line="3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0" w:right="419" w:bottom="1440" w:gutter="0" w:footer="0" w:header="0"/>
          <w:type w:val="continuous"/>
        </w:sectPr>
      </w:pPr>
    </w:p>
    <w:bookmarkStart w:id="137" w:name="page138"/>
    <w:bookmarkEnd w:id="137"/>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1216025" cy="59944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82">
                      <a:extLst>
                        <a:ext uri="{28A0092B-C50C-407E-A947-70E740481C1C}"/>
                      </a:extLst>
                    </a:blip>
                    <a:srcRect/>
                    <a:stretch>
                      <a:fillRect/>
                    </a:stretch>
                  </pic:blipFill>
                  <pic:spPr bwMode="auto">
                    <a:xfrm>
                      <a:off x="0" y="0"/>
                      <a:ext cx="1216025" cy="59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Contract of Employment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Private and Confidential</w:t>
      </w:r>
    </w:p>
    <w:p>
      <w:pPr>
        <w:spacing w:after="0" w:line="352" w:lineRule="exact"/>
        <w:rPr>
          <w:sz w:val="20"/>
          <w:szCs w:val="20"/>
          <w:color w:val="auto"/>
        </w:rPr>
      </w:pPr>
    </w:p>
    <w:p>
      <w:pPr>
        <w:spacing w:after="0"/>
        <w:rPr>
          <w:sz w:val="20"/>
          <w:szCs w:val="20"/>
          <w:color w:val="auto"/>
        </w:rPr>
      </w:pPr>
      <w:r>
        <w:rPr>
          <w:rFonts w:ascii="Calibri" w:cs="Calibri" w:eastAsia="Calibri" w:hAnsi="Calibri"/>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8" w:name="page139"/>
    <w:bookmarkEnd w:id="138"/>
    <w:p>
      <w:pPr>
        <w:spacing w:after="0"/>
        <w:rPr>
          <w:sz w:val="20"/>
          <w:szCs w:val="20"/>
          <w:color w:val="auto"/>
        </w:rPr>
      </w:pPr>
      <w:r>
        <w:rPr>
          <w:rFonts w:ascii="Calibri" w:cs="Calibri" w:eastAsia="Calibri" w:hAnsi="Calibri"/>
          <w:sz w:val="20"/>
          <w:szCs w:val="20"/>
          <w:b w:val="1"/>
          <w:bCs w:val="1"/>
          <w:color w:val="auto"/>
        </w:rPr>
        <w:t>Contract of Employment</w:t>
      </w:r>
    </w:p>
    <w:p>
      <w:pPr>
        <w:spacing w:after="0" w:line="251" w:lineRule="exact"/>
        <w:rPr>
          <w:sz w:val="20"/>
          <w:szCs w:val="20"/>
          <w:color w:val="auto"/>
        </w:rPr>
      </w:pPr>
    </w:p>
    <w:p>
      <w:pPr>
        <w:ind w:right="20"/>
        <w:spacing w:after="0" w:line="234" w:lineRule="auto"/>
        <w:rPr>
          <w:sz w:val="20"/>
          <w:szCs w:val="20"/>
          <w:color w:val="auto"/>
        </w:rPr>
      </w:pPr>
      <w:r>
        <w:rPr>
          <w:rFonts w:ascii="Calibri" w:cs="Calibri" w:eastAsia="Calibri" w:hAnsi="Calibri"/>
          <w:sz w:val="20"/>
          <w:szCs w:val="20"/>
          <w:color w:val="auto"/>
        </w:rPr>
        <w:t>The informaton contained in this document includes the requirement of a statement of the terms and conditons of your employment in accordance with the Employment Rights Act 1996.</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This agreement is made on 11 May 2009 and is between</w:t>
      </w:r>
    </w:p>
    <w:p>
      <w:pPr>
        <w:sectPr>
          <w:pgSz w:w="11900" w:h="16838" w:orient="portrait"/>
          <w:cols w:equalWidth="0" w:num="1">
            <w:col w:w="11240"/>
          </w:cols>
          <w:pgMar w:left="320" w:top="3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alibri" w:cs="Calibri" w:eastAsia="Calibri" w:hAnsi="Calibri"/>
          <w:sz w:val="19"/>
          <w:szCs w:val="19"/>
          <w:color w:val="auto"/>
        </w:rPr>
        <w:t>Adam Garrard</w:t>
      </w:r>
    </w:p>
    <w:p>
      <w:pPr>
        <w:spacing w:after="0" w:line="202" w:lineRule="exact"/>
        <w:rPr>
          <w:sz w:val="20"/>
          <w:szCs w:val="20"/>
          <w:color w:val="auto"/>
        </w:rPr>
      </w:pPr>
    </w:p>
    <w:p>
      <w:pPr>
        <w:sectPr>
          <w:pgSz w:w="11900" w:h="16838" w:orient="portrait"/>
          <w:cols w:equalWidth="0" w:num="2">
            <w:col w:w="760" w:space="720"/>
            <w:col w:w="9760"/>
          </w:cols>
          <w:pgMar w:left="320" w:top="348"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Calibri" w:cs="Calibri" w:eastAsia="Calibri" w:hAnsi="Calibri"/>
          <w:sz w:val="20"/>
          <w:szCs w:val="20"/>
          <w:color w:val="auto"/>
        </w:rPr>
        <w:t>and</w:t>
      </w:r>
    </w:p>
    <w:p>
      <w:pPr>
        <w:sectPr>
          <w:pgSz w:w="11900" w:h="16838" w:orient="portrait"/>
          <w:cols w:equalWidth="0" w:num="1">
            <w:col w:w="11240"/>
          </w:cols>
          <w:pgMar w:left="320" w:top="348" w:right="339" w:bottom="1440" w:gutter="0" w:footer="0" w:header="0"/>
          <w:type w:val="continuous"/>
        </w:sectPr>
      </w:pPr>
    </w:p>
    <w:p>
      <w:pPr>
        <w:spacing w:after="0" w:line="24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Company</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Calibri" w:cs="Calibri" w:eastAsia="Calibri" w:hAnsi="Calibri"/>
          <w:sz w:val="20"/>
          <w:szCs w:val="20"/>
          <w:color w:val="auto"/>
        </w:rPr>
        <w:t>Willis Limited</w:t>
      </w:r>
    </w:p>
    <w:p>
      <w:pPr>
        <w:spacing w:after="0" w:line="200" w:lineRule="exact"/>
        <w:rPr>
          <w:sz w:val="20"/>
          <w:szCs w:val="20"/>
          <w:color w:val="auto"/>
        </w:rPr>
      </w:pPr>
    </w:p>
    <w:p>
      <w:pPr>
        <w:sectPr>
          <w:pgSz w:w="11900" w:h="16838" w:orient="portrait"/>
          <w:cols w:equalWidth="0" w:num="2">
            <w:col w:w="800" w:space="680"/>
            <w:col w:w="9760"/>
          </w:cols>
          <w:pgMar w:left="320" w:top="348" w:right="339" w:bottom="1440" w:gutter="0" w:footer="0" w:header="0"/>
          <w:type w:val="continuous"/>
        </w:sectPr>
      </w:pPr>
    </w:p>
    <w:p>
      <w:pPr>
        <w:spacing w:after="0" w:line="294" w:lineRule="exact"/>
        <w:rPr>
          <w:sz w:val="20"/>
          <w:szCs w:val="20"/>
          <w:color w:val="auto"/>
        </w:rPr>
      </w:pPr>
    </w:p>
    <w:p>
      <w:pPr>
        <w:ind w:right="60"/>
        <w:spacing w:after="0" w:line="236" w:lineRule="auto"/>
        <w:rPr>
          <w:sz w:val="20"/>
          <w:szCs w:val="20"/>
          <w:color w:val="auto"/>
        </w:rPr>
      </w:pPr>
      <w:r>
        <w:rPr>
          <w:rFonts w:ascii="Calibri" w:cs="Calibri" w:eastAsia="Calibri" w:hAnsi="Calibri"/>
          <w:sz w:val="20"/>
          <w:szCs w:val="20"/>
          <w:color w:val="auto"/>
        </w:rPr>
        <w:t>The main terms and conditons of your employment are set out below. For further details of these and other maters including our Ethical Code, please refer to the Global Policy manual and the Associate Handbook. For the avoidance of doubt, the terms set out in this Contract of Employment take precedence over the Global Policy Manual and the Associate Handbook and ofer leter. The contents of the Associate Handbook and Global Policy Manual do not form part of your Contract of Employment, but are indicatve of Company Policy and Procedure. The Company reserves the right to vary these Policies and Procedures from tme to tme.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60" w:type="dxa"/>
            <w:vAlign w:val="bottom"/>
          </w:tcPr>
          <w:p>
            <w:pPr>
              <w:ind w:left="100"/>
              <w:spacing w:after="0"/>
              <w:rPr>
                <w:sz w:val="20"/>
                <w:szCs w:val="20"/>
                <w:color w:val="auto"/>
              </w:rPr>
            </w:pPr>
            <w:r>
              <w:rPr>
                <w:rFonts w:ascii="Calibri" w:cs="Calibri" w:eastAsia="Calibri" w:hAnsi="Calibri"/>
                <w:sz w:val="20"/>
                <w:szCs w:val="20"/>
                <w:b w:val="1"/>
                <w:bCs w:val="1"/>
                <w:color w:val="auto"/>
              </w:rPr>
              <w:t>Date this Employment</w:t>
            </w:r>
          </w:p>
        </w:tc>
        <w:tc>
          <w:tcPr>
            <w:tcW w:w="7880" w:type="dxa"/>
            <w:vAlign w:val="bottom"/>
          </w:tcPr>
          <w:p>
            <w:pPr>
              <w:ind w:left="100"/>
              <w:spacing w:after="0"/>
              <w:rPr>
                <w:sz w:val="20"/>
                <w:szCs w:val="20"/>
                <w:color w:val="auto"/>
              </w:rPr>
            </w:pPr>
            <w:r>
              <w:rPr>
                <w:rFonts w:ascii="Calibri" w:cs="Calibri" w:eastAsia="Calibri" w:hAnsi="Calibri"/>
                <w:sz w:val="20"/>
                <w:szCs w:val="20"/>
                <w:color w:val="auto"/>
              </w:rPr>
              <w:t>11 May 2009</w:t>
            </w:r>
          </w:p>
        </w:tc>
      </w:tr>
      <w:tr>
        <w:trPr>
          <w:trHeight w:val="243"/>
        </w:trPr>
        <w:tc>
          <w:tcPr>
            <w:tcW w:w="3360" w:type="dxa"/>
            <w:vAlign w:val="bottom"/>
          </w:tcPr>
          <w:p>
            <w:pPr>
              <w:ind w:left="100"/>
              <w:spacing w:after="0" w:line="243" w:lineRule="exact"/>
              <w:rPr>
                <w:sz w:val="20"/>
                <w:szCs w:val="20"/>
                <w:color w:val="auto"/>
              </w:rPr>
            </w:pPr>
            <w:r>
              <w:rPr>
                <w:rFonts w:ascii="Calibri" w:cs="Calibri" w:eastAsia="Calibri" w:hAnsi="Calibri"/>
                <w:sz w:val="20"/>
                <w:szCs w:val="20"/>
                <w:b w:val="1"/>
                <w:bCs w:val="1"/>
                <w:color w:val="auto"/>
              </w:rPr>
              <w:t>Begins:</w:t>
            </w:r>
          </w:p>
        </w:tc>
        <w:tc>
          <w:tcPr>
            <w:tcW w:w="7880" w:type="dxa"/>
            <w:vAlign w:val="bottom"/>
          </w:tcPr>
          <w:p>
            <w:pPr>
              <w:spacing w:after="0"/>
              <w:rPr>
                <w:sz w:val="21"/>
                <w:szCs w:val="21"/>
                <w:color w:val="auto"/>
              </w:rPr>
            </w:pPr>
          </w:p>
        </w:tc>
      </w:tr>
      <w:tr>
        <w:trPr>
          <w:trHeight w:val="485"/>
        </w:trPr>
        <w:tc>
          <w:tcPr>
            <w:tcW w:w="3360" w:type="dxa"/>
            <w:vAlign w:val="bottom"/>
          </w:tcPr>
          <w:p>
            <w:pPr>
              <w:ind w:left="100"/>
              <w:spacing w:after="0"/>
              <w:rPr>
                <w:sz w:val="20"/>
                <w:szCs w:val="20"/>
                <w:color w:val="auto"/>
              </w:rPr>
            </w:pPr>
            <w:r>
              <w:rPr>
                <w:rFonts w:ascii="Calibri" w:cs="Calibri" w:eastAsia="Calibri" w:hAnsi="Calibri"/>
                <w:sz w:val="20"/>
                <w:szCs w:val="20"/>
                <w:b w:val="1"/>
                <w:bCs w:val="1"/>
                <w:color w:val="auto"/>
              </w:rPr>
              <w:t>Date Contnuous Employment Begins:</w:t>
            </w:r>
          </w:p>
        </w:tc>
        <w:tc>
          <w:tcPr>
            <w:tcW w:w="7880" w:type="dxa"/>
            <w:vAlign w:val="bottom"/>
          </w:tcPr>
          <w:p>
            <w:pPr>
              <w:spacing w:after="0"/>
              <w:rPr>
                <w:sz w:val="24"/>
                <w:szCs w:val="24"/>
                <w:color w:val="auto"/>
              </w:rPr>
            </w:pPr>
          </w:p>
        </w:tc>
      </w:tr>
      <w:tr>
        <w:trPr>
          <w:trHeight w:val="243"/>
        </w:trPr>
        <w:tc>
          <w:tcPr>
            <w:tcW w:w="3360" w:type="dxa"/>
            <w:vAlign w:val="bottom"/>
          </w:tcPr>
          <w:p>
            <w:pPr>
              <w:spacing w:after="0"/>
              <w:rPr>
                <w:sz w:val="21"/>
                <w:szCs w:val="21"/>
                <w:color w:val="auto"/>
              </w:rPr>
            </w:pPr>
          </w:p>
        </w:tc>
        <w:tc>
          <w:tcPr>
            <w:tcW w:w="7880" w:type="dxa"/>
            <w:vAlign w:val="bottom"/>
          </w:tcPr>
          <w:p>
            <w:pPr>
              <w:ind w:left="100"/>
              <w:spacing w:after="0" w:line="243" w:lineRule="exact"/>
              <w:rPr>
                <w:sz w:val="20"/>
                <w:szCs w:val="20"/>
                <w:color w:val="auto"/>
              </w:rPr>
            </w:pPr>
            <w:r>
              <w:rPr>
                <w:rFonts w:ascii="Calibri" w:cs="Calibri" w:eastAsia="Calibri" w:hAnsi="Calibri"/>
                <w:sz w:val="20"/>
                <w:szCs w:val="20"/>
                <w:color w:val="auto"/>
              </w:rPr>
              <w:t>7 November 1994</w:t>
            </w:r>
          </w:p>
        </w:tc>
      </w:tr>
      <w:tr>
        <w:trPr>
          <w:trHeight w:val="485"/>
        </w:trPr>
        <w:tc>
          <w:tcPr>
            <w:tcW w:w="3360" w:type="dxa"/>
            <w:vAlign w:val="bottom"/>
          </w:tcPr>
          <w:p>
            <w:pPr>
              <w:spacing w:after="0"/>
              <w:rPr>
                <w:sz w:val="24"/>
                <w:szCs w:val="24"/>
                <w:color w:val="auto"/>
              </w:rPr>
            </w:pPr>
          </w:p>
        </w:tc>
        <w:tc>
          <w:tcPr>
            <w:tcW w:w="7880" w:type="dxa"/>
            <w:vAlign w:val="bottom"/>
          </w:tcPr>
          <w:p>
            <w:pPr>
              <w:ind w:left="100"/>
              <w:spacing w:after="0"/>
              <w:rPr>
                <w:sz w:val="20"/>
                <w:szCs w:val="20"/>
                <w:color w:val="auto"/>
              </w:rPr>
            </w:pPr>
            <w:r>
              <w:rPr>
                <w:rFonts w:ascii="Calibri" w:cs="Calibri" w:eastAsia="Calibri" w:hAnsi="Calibri"/>
                <w:sz w:val="20"/>
                <w:szCs w:val="20"/>
                <w:color w:val="auto"/>
              </w:rPr>
              <w:t>Employment prior to this date with any previous employer does not count as part of your</w:t>
            </w:r>
          </w:p>
        </w:tc>
      </w:tr>
      <w:tr>
        <w:trPr>
          <w:trHeight w:val="243"/>
        </w:trPr>
        <w:tc>
          <w:tcPr>
            <w:tcW w:w="3360" w:type="dxa"/>
            <w:vAlign w:val="bottom"/>
          </w:tcPr>
          <w:p>
            <w:pPr>
              <w:spacing w:after="0"/>
              <w:rPr>
                <w:sz w:val="21"/>
                <w:szCs w:val="21"/>
                <w:color w:val="auto"/>
              </w:rPr>
            </w:pPr>
          </w:p>
        </w:tc>
        <w:tc>
          <w:tcPr>
            <w:tcW w:w="7880" w:type="dxa"/>
            <w:vAlign w:val="bottom"/>
          </w:tcPr>
          <w:p>
            <w:pPr>
              <w:ind w:left="100"/>
              <w:spacing w:after="0" w:line="243" w:lineRule="exact"/>
              <w:rPr>
                <w:sz w:val="20"/>
                <w:szCs w:val="20"/>
                <w:color w:val="auto"/>
              </w:rPr>
            </w:pPr>
            <w:r>
              <w:rPr>
                <w:rFonts w:ascii="Calibri" w:cs="Calibri" w:eastAsia="Calibri" w:hAnsi="Calibri"/>
                <w:sz w:val="20"/>
                <w:szCs w:val="20"/>
                <w:color w:val="auto"/>
              </w:rPr>
              <w:t>contnuous employment with the Company. This date is not necessarily the date used to</w:t>
            </w:r>
          </w:p>
        </w:tc>
      </w:tr>
      <w:tr>
        <w:trPr>
          <w:trHeight w:val="243"/>
        </w:trPr>
        <w:tc>
          <w:tcPr>
            <w:tcW w:w="3360" w:type="dxa"/>
            <w:vAlign w:val="bottom"/>
          </w:tcPr>
          <w:p>
            <w:pPr>
              <w:spacing w:after="0"/>
              <w:rPr>
                <w:sz w:val="21"/>
                <w:szCs w:val="21"/>
                <w:color w:val="auto"/>
              </w:rPr>
            </w:pPr>
          </w:p>
        </w:tc>
        <w:tc>
          <w:tcPr>
            <w:tcW w:w="7880" w:type="dxa"/>
            <w:vAlign w:val="bottom"/>
          </w:tcPr>
          <w:p>
            <w:pPr>
              <w:ind w:left="100"/>
              <w:spacing w:after="0" w:line="243" w:lineRule="exact"/>
              <w:rPr>
                <w:sz w:val="20"/>
                <w:szCs w:val="20"/>
                <w:color w:val="auto"/>
              </w:rPr>
            </w:pPr>
            <w:r>
              <w:rPr>
                <w:rFonts w:ascii="Calibri" w:cs="Calibri" w:eastAsia="Calibri" w:hAnsi="Calibri"/>
                <w:sz w:val="20"/>
                <w:szCs w:val="20"/>
                <w:color w:val="auto"/>
              </w:rPr>
              <w:t>determine your enttlement to certain benefts.</w:t>
            </w:r>
          </w:p>
        </w:tc>
      </w:tr>
      <w:tr>
        <w:trPr>
          <w:trHeight w:val="512"/>
        </w:trPr>
        <w:tc>
          <w:tcPr>
            <w:tcW w:w="3360" w:type="dxa"/>
            <w:vAlign w:val="bottom"/>
          </w:tcPr>
          <w:p>
            <w:pPr>
              <w:ind w:left="100"/>
              <w:spacing w:after="0"/>
              <w:rPr>
                <w:sz w:val="20"/>
                <w:szCs w:val="20"/>
                <w:color w:val="auto"/>
              </w:rPr>
            </w:pPr>
            <w:r>
              <w:rPr>
                <w:rFonts w:ascii="Calibri" w:cs="Calibri" w:eastAsia="Calibri" w:hAnsi="Calibri"/>
                <w:sz w:val="20"/>
                <w:szCs w:val="20"/>
                <w:b w:val="1"/>
                <w:bCs w:val="1"/>
                <w:color w:val="auto"/>
              </w:rPr>
              <w:t>Current Job Title:</w:t>
            </w:r>
          </w:p>
        </w:tc>
        <w:tc>
          <w:tcPr>
            <w:tcW w:w="7880" w:type="dxa"/>
            <w:vAlign w:val="bottom"/>
          </w:tcPr>
          <w:p>
            <w:pPr>
              <w:ind w:left="100"/>
              <w:spacing w:after="0"/>
              <w:rPr>
                <w:sz w:val="20"/>
                <w:szCs w:val="20"/>
                <w:color w:val="auto"/>
              </w:rPr>
            </w:pPr>
            <w:r>
              <w:rPr>
                <w:rFonts w:ascii="Calibri" w:cs="Calibri" w:eastAsia="Calibri" w:hAnsi="Calibri"/>
                <w:sz w:val="20"/>
                <w:szCs w:val="20"/>
                <w:color w:val="auto"/>
              </w:rPr>
              <w:t>Chief Executve Ofcer – Contnental Europe</w:t>
            </w:r>
          </w:p>
        </w:tc>
      </w:tr>
      <w:tr>
        <w:trPr>
          <w:trHeight w:val="485"/>
        </w:trPr>
        <w:tc>
          <w:tcPr>
            <w:tcW w:w="3360" w:type="dxa"/>
            <w:vAlign w:val="bottom"/>
          </w:tcPr>
          <w:p>
            <w:pPr>
              <w:spacing w:after="0"/>
              <w:rPr>
                <w:sz w:val="24"/>
                <w:szCs w:val="24"/>
                <w:color w:val="auto"/>
              </w:rPr>
            </w:pPr>
          </w:p>
        </w:tc>
        <w:tc>
          <w:tcPr>
            <w:tcW w:w="7880" w:type="dxa"/>
            <w:vAlign w:val="bottom"/>
          </w:tcPr>
          <w:p>
            <w:pPr>
              <w:ind w:left="100"/>
              <w:spacing w:after="0"/>
              <w:rPr>
                <w:sz w:val="20"/>
                <w:szCs w:val="20"/>
                <w:color w:val="auto"/>
              </w:rPr>
            </w:pPr>
            <w:r>
              <w:rPr>
                <w:rFonts w:ascii="Calibri" w:cs="Calibri" w:eastAsia="Calibri" w:hAnsi="Calibri"/>
                <w:sz w:val="20"/>
                <w:szCs w:val="20"/>
                <w:color w:val="auto"/>
              </w:rPr>
              <w:t>You may be transferred to any other job in the Group which in the reasonable opinion of the</w:t>
            </w:r>
          </w:p>
        </w:tc>
      </w:tr>
      <w:tr>
        <w:trPr>
          <w:trHeight w:val="243"/>
        </w:trPr>
        <w:tc>
          <w:tcPr>
            <w:tcW w:w="3360" w:type="dxa"/>
            <w:vAlign w:val="bottom"/>
          </w:tcPr>
          <w:p>
            <w:pPr>
              <w:spacing w:after="0"/>
              <w:rPr>
                <w:sz w:val="21"/>
                <w:szCs w:val="21"/>
                <w:color w:val="auto"/>
              </w:rPr>
            </w:pPr>
          </w:p>
        </w:tc>
        <w:tc>
          <w:tcPr>
            <w:tcW w:w="7880" w:type="dxa"/>
            <w:vAlign w:val="bottom"/>
          </w:tcPr>
          <w:p>
            <w:pPr>
              <w:ind w:left="100"/>
              <w:spacing w:after="0" w:line="243" w:lineRule="exact"/>
              <w:rPr>
                <w:sz w:val="20"/>
                <w:szCs w:val="20"/>
                <w:color w:val="auto"/>
              </w:rPr>
            </w:pPr>
            <w:r>
              <w:rPr>
                <w:rFonts w:ascii="Calibri" w:cs="Calibri" w:eastAsia="Calibri" w:hAnsi="Calibri"/>
                <w:sz w:val="20"/>
                <w:szCs w:val="20"/>
                <w:color w:val="auto"/>
              </w:rPr>
              <w:t>Company would be suitable, on terms and conditons no less favourable than those set out in</w:t>
            </w:r>
          </w:p>
        </w:tc>
      </w:tr>
      <w:tr>
        <w:trPr>
          <w:trHeight w:val="243"/>
        </w:trPr>
        <w:tc>
          <w:tcPr>
            <w:tcW w:w="3360" w:type="dxa"/>
            <w:vAlign w:val="bottom"/>
          </w:tcPr>
          <w:p>
            <w:pPr>
              <w:spacing w:after="0"/>
              <w:rPr>
                <w:sz w:val="21"/>
                <w:szCs w:val="21"/>
                <w:color w:val="auto"/>
              </w:rPr>
            </w:pPr>
          </w:p>
        </w:tc>
        <w:tc>
          <w:tcPr>
            <w:tcW w:w="7880" w:type="dxa"/>
            <w:vAlign w:val="bottom"/>
          </w:tcPr>
          <w:p>
            <w:pPr>
              <w:ind w:left="100"/>
              <w:spacing w:after="0" w:line="243" w:lineRule="exact"/>
              <w:rPr>
                <w:sz w:val="20"/>
                <w:szCs w:val="20"/>
                <w:color w:val="auto"/>
              </w:rPr>
            </w:pPr>
            <w:r>
              <w:rPr>
                <w:rFonts w:ascii="Calibri" w:cs="Calibri" w:eastAsia="Calibri" w:hAnsi="Calibri"/>
                <w:sz w:val="20"/>
                <w:szCs w:val="20"/>
                <w:color w:val="auto"/>
              </w:rPr>
              <w:t>this document.</w:t>
            </w:r>
          </w:p>
        </w:tc>
      </w:tr>
      <w:tr>
        <w:trPr>
          <w:trHeight w:val="512"/>
        </w:trPr>
        <w:tc>
          <w:tcPr>
            <w:tcW w:w="3360" w:type="dxa"/>
            <w:vAlign w:val="bottom"/>
          </w:tcPr>
          <w:p>
            <w:pPr>
              <w:ind w:left="100"/>
              <w:spacing w:after="0"/>
              <w:rPr>
                <w:sz w:val="20"/>
                <w:szCs w:val="20"/>
                <w:color w:val="auto"/>
              </w:rPr>
            </w:pPr>
            <w:r>
              <w:rPr>
                <w:rFonts w:ascii="Calibri" w:cs="Calibri" w:eastAsia="Calibri" w:hAnsi="Calibri"/>
                <w:sz w:val="20"/>
                <w:szCs w:val="20"/>
                <w:b w:val="1"/>
                <w:bCs w:val="1"/>
                <w:color w:val="auto"/>
              </w:rPr>
              <w:t>Locaton:</w:t>
            </w:r>
          </w:p>
        </w:tc>
        <w:tc>
          <w:tcPr>
            <w:tcW w:w="7880" w:type="dxa"/>
            <w:vAlign w:val="bottom"/>
          </w:tcPr>
          <w:p>
            <w:pPr>
              <w:ind w:left="100"/>
              <w:spacing w:after="0"/>
              <w:rPr>
                <w:sz w:val="20"/>
                <w:szCs w:val="20"/>
                <w:color w:val="auto"/>
              </w:rPr>
            </w:pPr>
            <w:r>
              <w:rPr>
                <w:rFonts w:ascii="Calibri" w:cs="Calibri" w:eastAsia="Calibri" w:hAnsi="Calibri"/>
                <w:sz w:val="20"/>
                <w:szCs w:val="20"/>
                <w:color w:val="auto"/>
              </w:rPr>
              <w:t>51 Lime Street, London</w:t>
            </w:r>
          </w:p>
        </w:tc>
      </w:tr>
      <w:tr>
        <w:trPr>
          <w:trHeight w:val="485"/>
        </w:trPr>
        <w:tc>
          <w:tcPr>
            <w:tcW w:w="3360" w:type="dxa"/>
            <w:vAlign w:val="bottom"/>
          </w:tcPr>
          <w:p>
            <w:pPr>
              <w:spacing w:after="0"/>
              <w:rPr>
                <w:sz w:val="24"/>
                <w:szCs w:val="24"/>
                <w:color w:val="auto"/>
              </w:rPr>
            </w:pPr>
          </w:p>
        </w:tc>
        <w:tc>
          <w:tcPr>
            <w:tcW w:w="7880" w:type="dxa"/>
            <w:vAlign w:val="bottom"/>
          </w:tcPr>
          <w:p>
            <w:pPr>
              <w:ind w:left="100"/>
              <w:spacing w:after="0"/>
              <w:rPr>
                <w:sz w:val="20"/>
                <w:szCs w:val="20"/>
                <w:color w:val="auto"/>
              </w:rPr>
            </w:pPr>
            <w:r>
              <w:rPr>
                <w:rFonts w:ascii="Calibri" w:cs="Calibri" w:eastAsia="Calibri" w:hAnsi="Calibri"/>
                <w:sz w:val="20"/>
                <w:szCs w:val="20"/>
                <w:color w:val="auto"/>
              </w:rPr>
              <w:t>You may be transferred to any other ofce in the Group. Your agreement to such a transfer</w:t>
            </w:r>
          </w:p>
        </w:tc>
      </w:tr>
      <w:tr>
        <w:trPr>
          <w:trHeight w:val="243"/>
        </w:trPr>
        <w:tc>
          <w:tcPr>
            <w:tcW w:w="3360" w:type="dxa"/>
            <w:vAlign w:val="bottom"/>
          </w:tcPr>
          <w:p>
            <w:pPr>
              <w:spacing w:after="0"/>
              <w:rPr>
                <w:sz w:val="21"/>
                <w:szCs w:val="21"/>
                <w:color w:val="auto"/>
              </w:rPr>
            </w:pPr>
          </w:p>
        </w:tc>
        <w:tc>
          <w:tcPr>
            <w:tcW w:w="7880" w:type="dxa"/>
            <w:vAlign w:val="bottom"/>
          </w:tcPr>
          <w:p>
            <w:pPr>
              <w:ind w:left="100"/>
              <w:spacing w:after="0" w:line="243" w:lineRule="exact"/>
              <w:rPr>
                <w:sz w:val="20"/>
                <w:szCs w:val="20"/>
                <w:color w:val="auto"/>
              </w:rPr>
            </w:pPr>
            <w:r>
              <w:rPr>
                <w:rFonts w:ascii="Calibri" w:cs="Calibri" w:eastAsia="Calibri" w:hAnsi="Calibri"/>
                <w:sz w:val="20"/>
                <w:szCs w:val="20"/>
                <w:color w:val="auto"/>
              </w:rPr>
              <w:t>will be sought unless in the reasonable</w:t>
            </w:r>
          </w:p>
        </w:tc>
      </w:tr>
      <w:tr>
        <w:trPr>
          <w:trHeight w:val="256"/>
        </w:trPr>
        <w:tc>
          <w:tcPr>
            <w:tcW w:w="3360" w:type="dxa"/>
            <w:vAlign w:val="bottom"/>
          </w:tcPr>
          <w:p>
            <w:pPr>
              <w:spacing w:after="0"/>
              <w:rPr>
                <w:sz w:val="20"/>
                <w:szCs w:val="20"/>
                <w:color w:val="auto"/>
              </w:rPr>
            </w:pPr>
            <w:r>
              <w:rPr>
                <w:rFonts w:ascii="Calibri" w:cs="Calibri" w:eastAsia="Calibri" w:hAnsi="Calibri"/>
                <w:sz w:val="20"/>
                <w:szCs w:val="20"/>
                <w:color w:val="auto"/>
              </w:rPr>
              <w:t>2</w:t>
            </w:r>
          </w:p>
        </w:tc>
        <w:tc>
          <w:tcPr>
            <w:tcW w:w="7880" w:type="dxa"/>
            <w:vAlign w:val="bottom"/>
          </w:tcPr>
          <w:p>
            <w:pPr>
              <w:spacing w:after="0"/>
              <w:rPr>
                <w:sz w:val="22"/>
                <w:szCs w:val="22"/>
                <w:color w:val="auto"/>
              </w:rPr>
            </w:pPr>
          </w:p>
        </w:tc>
      </w:tr>
      <w:tr>
        <w:trPr>
          <w:trHeight w:val="148"/>
        </w:trPr>
        <w:tc>
          <w:tcPr>
            <w:tcW w:w="3360" w:type="dxa"/>
            <w:vAlign w:val="bottom"/>
            <w:tcBorders>
              <w:bottom w:val="single" w:sz="8" w:color="9A9A9A"/>
            </w:tcBorders>
          </w:tcPr>
          <w:p>
            <w:pPr>
              <w:spacing w:after="0"/>
              <w:rPr>
                <w:sz w:val="12"/>
                <w:szCs w:val="12"/>
                <w:color w:val="auto"/>
              </w:rPr>
            </w:pPr>
          </w:p>
        </w:tc>
        <w:tc>
          <w:tcPr>
            <w:tcW w:w="788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8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type w:val="continuous"/>
        </w:sectPr>
      </w:pPr>
    </w:p>
    <w:bookmarkStart w:id="139" w:name="page140"/>
    <w:bookmarkEnd w:id="139"/>
    <w:p>
      <w:pPr>
        <w:ind w:left="3460"/>
        <w:spacing w:after="0"/>
        <w:rPr>
          <w:sz w:val="20"/>
          <w:szCs w:val="20"/>
          <w:color w:val="auto"/>
        </w:rPr>
      </w:pPr>
      <w:r>
        <w:rPr>
          <w:rFonts w:ascii="Calibri" w:cs="Calibri" w:eastAsia="Calibri" w:hAnsi="Calibri"/>
          <w:sz w:val="20"/>
          <w:szCs w:val="20"/>
          <w:color w:val="auto"/>
        </w:rPr>
        <w:t>opinion of the Company, the transfer does not necessitate you having to move home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840" w:type="dxa"/>
            <w:vAlign w:val="bottom"/>
          </w:tcPr>
          <w:p>
            <w:pPr>
              <w:ind w:left="100"/>
              <w:spacing w:after="0"/>
              <w:rPr>
                <w:sz w:val="20"/>
                <w:szCs w:val="20"/>
                <w:color w:val="auto"/>
              </w:rPr>
            </w:pPr>
            <w:r>
              <w:rPr>
                <w:rFonts w:ascii="Calibri" w:cs="Calibri" w:eastAsia="Calibri" w:hAnsi="Calibri"/>
                <w:sz w:val="20"/>
                <w:szCs w:val="20"/>
                <w:b w:val="1"/>
                <w:bCs w:val="1"/>
                <w:color w:val="auto"/>
              </w:rPr>
              <w:t>Base Salary:</w:t>
            </w:r>
          </w:p>
        </w:tc>
        <w:tc>
          <w:tcPr>
            <w:tcW w:w="8400" w:type="dxa"/>
            <w:vAlign w:val="bottom"/>
          </w:tcPr>
          <w:p>
            <w:pPr>
              <w:ind w:left="620"/>
              <w:spacing w:after="0"/>
              <w:rPr>
                <w:sz w:val="20"/>
                <w:szCs w:val="20"/>
                <w:color w:val="auto"/>
              </w:rPr>
            </w:pPr>
            <w:r>
              <w:rPr>
                <w:rFonts w:ascii="Calibri" w:cs="Calibri" w:eastAsia="Calibri" w:hAnsi="Calibri"/>
                <w:sz w:val="20"/>
                <w:szCs w:val="20"/>
                <w:color w:val="auto"/>
              </w:rPr>
              <w:t>£220,000 per annum</w:t>
            </w:r>
          </w:p>
        </w:tc>
      </w:tr>
      <w:tr>
        <w:trPr>
          <w:trHeight w:val="485"/>
        </w:trPr>
        <w:tc>
          <w:tcPr>
            <w:tcW w:w="2840" w:type="dxa"/>
            <w:vAlign w:val="bottom"/>
          </w:tcPr>
          <w:p>
            <w:pPr>
              <w:spacing w:after="0"/>
              <w:rPr>
                <w:sz w:val="24"/>
                <w:szCs w:val="24"/>
                <w:color w:val="auto"/>
              </w:rPr>
            </w:pPr>
          </w:p>
        </w:tc>
        <w:tc>
          <w:tcPr>
            <w:tcW w:w="8400" w:type="dxa"/>
            <w:vAlign w:val="bottom"/>
          </w:tcPr>
          <w:p>
            <w:pPr>
              <w:ind w:left="620"/>
              <w:spacing w:after="0"/>
              <w:rPr>
                <w:sz w:val="20"/>
                <w:szCs w:val="20"/>
                <w:color w:val="auto"/>
              </w:rPr>
            </w:pPr>
            <w:r>
              <w:rPr>
                <w:rFonts w:ascii="Calibri" w:cs="Calibri" w:eastAsia="Calibri" w:hAnsi="Calibri"/>
                <w:sz w:val="20"/>
                <w:szCs w:val="20"/>
                <w:color w:val="auto"/>
              </w:rPr>
              <w:t>Your contractual salary will be your base salary less any sacrifce arrangements you have</w:t>
            </w:r>
          </w:p>
        </w:tc>
      </w:tr>
      <w:tr>
        <w:trPr>
          <w:trHeight w:val="243"/>
        </w:trPr>
        <w:tc>
          <w:tcPr>
            <w:tcW w:w="2840" w:type="dxa"/>
            <w:vAlign w:val="bottom"/>
          </w:tcPr>
          <w:p>
            <w:pPr>
              <w:spacing w:after="0"/>
              <w:rPr>
                <w:sz w:val="21"/>
                <w:szCs w:val="21"/>
                <w:color w:val="auto"/>
              </w:rPr>
            </w:pPr>
          </w:p>
        </w:tc>
        <w:tc>
          <w:tcPr>
            <w:tcW w:w="8400" w:type="dxa"/>
            <w:vAlign w:val="bottom"/>
          </w:tcPr>
          <w:p>
            <w:pPr>
              <w:ind w:left="620"/>
              <w:spacing w:after="0" w:line="243" w:lineRule="exact"/>
              <w:rPr>
                <w:sz w:val="20"/>
                <w:szCs w:val="20"/>
                <w:color w:val="auto"/>
              </w:rPr>
            </w:pPr>
            <w:r>
              <w:rPr>
                <w:rFonts w:ascii="Calibri" w:cs="Calibri" w:eastAsia="Calibri" w:hAnsi="Calibri"/>
                <w:sz w:val="20"/>
                <w:szCs w:val="20"/>
                <w:color w:val="auto"/>
              </w:rPr>
              <w:t>made.</w:t>
            </w:r>
          </w:p>
        </w:tc>
      </w:tr>
      <w:tr>
        <w:trPr>
          <w:trHeight w:val="485"/>
        </w:trPr>
        <w:tc>
          <w:tcPr>
            <w:tcW w:w="2840" w:type="dxa"/>
            <w:vAlign w:val="bottom"/>
          </w:tcPr>
          <w:p>
            <w:pPr>
              <w:spacing w:after="0"/>
              <w:rPr>
                <w:sz w:val="24"/>
                <w:szCs w:val="24"/>
                <w:color w:val="auto"/>
              </w:rPr>
            </w:pPr>
          </w:p>
        </w:tc>
        <w:tc>
          <w:tcPr>
            <w:tcW w:w="8400" w:type="dxa"/>
            <w:vAlign w:val="bottom"/>
          </w:tcPr>
          <w:p>
            <w:pPr>
              <w:ind w:left="620"/>
              <w:spacing w:after="0"/>
              <w:rPr>
                <w:sz w:val="20"/>
                <w:szCs w:val="20"/>
                <w:color w:val="auto"/>
              </w:rPr>
            </w:pPr>
            <w:r>
              <w:rPr>
                <w:rFonts w:ascii="Calibri" w:cs="Calibri" w:eastAsia="Calibri" w:hAnsi="Calibri"/>
                <w:sz w:val="20"/>
                <w:szCs w:val="20"/>
                <w:color w:val="auto"/>
              </w:rPr>
              <w:t>Your contractual salary will be paid monthly in arrears by direct transfer to your bank</w:t>
            </w:r>
          </w:p>
        </w:tc>
      </w:tr>
      <w:tr>
        <w:trPr>
          <w:trHeight w:val="243"/>
        </w:trPr>
        <w:tc>
          <w:tcPr>
            <w:tcW w:w="2840" w:type="dxa"/>
            <w:vAlign w:val="bottom"/>
          </w:tcPr>
          <w:p>
            <w:pPr>
              <w:spacing w:after="0"/>
              <w:rPr>
                <w:sz w:val="21"/>
                <w:szCs w:val="21"/>
                <w:color w:val="auto"/>
              </w:rPr>
            </w:pPr>
          </w:p>
        </w:tc>
        <w:tc>
          <w:tcPr>
            <w:tcW w:w="8400" w:type="dxa"/>
            <w:vAlign w:val="bottom"/>
          </w:tcPr>
          <w:p>
            <w:pPr>
              <w:ind w:left="620"/>
              <w:spacing w:after="0" w:line="243" w:lineRule="exact"/>
              <w:rPr>
                <w:sz w:val="20"/>
                <w:szCs w:val="20"/>
                <w:color w:val="auto"/>
              </w:rPr>
            </w:pPr>
            <w:r>
              <w:rPr>
                <w:rFonts w:ascii="Calibri" w:cs="Calibri" w:eastAsia="Calibri" w:hAnsi="Calibri"/>
                <w:sz w:val="20"/>
                <w:szCs w:val="20"/>
                <w:color w:val="auto"/>
              </w:rPr>
              <w:t>account. Your base salary will be reviewed annually.</w:t>
            </w:r>
          </w:p>
        </w:tc>
      </w:tr>
      <w:tr>
        <w:trPr>
          <w:trHeight w:val="485"/>
        </w:trPr>
        <w:tc>
          <w:tcPr>
            <w:tcW w:w="2840" w:type="dxa"/>
            <w:vAlign w:val="bottom"/>
          </w:tcPr>
          <w:p>
            <w:pPr>
              <w:spacing w:after="0"/>
              <w:rPr>
                <w:sz w:val="24"/>
                <w:szCs w:val="24"/>
                <w:color w:val="auto"/>
              </w:rPr>
            </w:pPr>
          </w:p>
        </w:tc>
        <w:tc>
          <w:tcPr>
            <w:tcW w:w="8400" w:type="dxa"/>
            <w:vAlign w:val="bottom"/>
          </w:tcPr>
          <w:p>
            <w:pPr>
              <w:ind w:left="620"/>
              <w:spacing w:after="0"/>
              <w:rPr>
                <w:sz w:val="20"/>
                <w:szCs w:val="20"/>
                <w:color w:val="auto"/>
              </w:rPr>
            </w:pPr>
            <w:r>
              <w:rPr>
                <w:rFonts w:ascii="Calibri" w:cs="Calibri" w:eastAsia="Calibri" w:hAnsi="Calibri"/>
                <w:sz w:val="20"/>
                <w:szCs w:val="20"/>
                <w:color w:val="auto"/>
              </w:rPr>
              <w:t>You authorise the Company to deduct from your remuneraton, and to set of against any</w:t>
            </w:r>
          </w:p>
        </w:tc>
      </w:tr>
      <w:tr>
        <w:trPr>
          <w:trHeight w:val="243"/>
        </w:trPr>
        <w:tc>
          <w:tcPr>
            <w:tcW w:w="2840" w:type="dxa"/>
            <w:vAlign w:val="bottom"/>
          </w:tcPr>
          <w:p>
            <w:pPr>
              <w:spacing w:after="0"/>
              <w:rPr>
                <w:sz w:val="21"/>
                <w:szCs w:val="21"/>
                <w:color w:val="auto"/>
              </w:rPr>
            </w:pPr>
          </w:p>
        </w:tc>
        <w:tc>
          <w:tcPr>
            <w:tcW w:w="8400" w:type="dxa"/>
            <w:vAlign w:val="bottom"/>
          </w:tcPr>
          <w:p>
            <w:pPr>
              <w:ind w:left="620"/>
              <w:spacing w:after="0" w:line="243" w:lineRule="exact"/>
              <w:rPr>
                <w:sz w:val="20"/>
                <w:szCs w:val="20"/>
                <w:color w:val="auto"/>
              </w:rPr>
            </w:pPr>
            <w:r>
              <w:rPr>
                <w:rFonts w:ascii="Calibri" w:cs="Calibri" w:eastAsia="Calibri" w:hAnsi="Calibri"/>
                <w:sz w:val="20"/>
                <w:szCs w:val="20"/>
                <w:color w:val="auto"/>
              </w:rPr>
              <w:t>monies due to you as expenses or otherwise, any sum due to the Company from you</w:t>
            </w:r>
          </w:p>
        </w:tc>
      </w:tr>
      <w:tr>
        <w:trPr>
          <w:trHeight w:val="243"/>
        </w:trPr>
        <w:tc>
          <w:tcPr>
            <w:tcW w:w="2840" w:type="dxa"/>
            <w:vAlign w:val="bottom"/>
          </w:tcPr>
          <w:p>
            <w:pPr>
              <w:spacing w:after="0"/>
              <w:rPr>
                <w:sz w:val="21"/>
                <w:szCs w:val="21"/>
                <w:color w:val="auto"/>
              </w:rPr>
            </w:pPr>
          </w:p>
        </w:tc>
        <w:tc>
          <w:tcPr>
            <w:tcW w:w="8400" w:type="dxa"/>
            <w:vAlign w:val="bottom"/>
          </w:tcPr>
          <w:p>
            <w:pPr>
              <w:ind w:left="620"/>
              <w:spacing w:after="0" w:line="243" w:lineRule="exact"/>
              <w:rPr>
                <w:sz w:val="20"/>
                <w:szCs w:val="20"/>
                <w:color w:val="auto"/>
              </w:rPr>
            </w:pPr>
            <w:r>
              <w:rPr>
                <w:rFonts w:ascii="Calibri" w:cs="Calibri" w:eastAsia="Calibri" w:hAnsi="Calibri"/>
                <w:sz w:val="20"/>
                <w:szCs w:val="20"/>
                <w:color w:val="auto"/>
              </w:rPr>
              <w:t>including, without any limitaton, any overpayments, bonuses, study fees, loans or advances</w:t>
            </w:r>
          </w:p>
        </w:tc>
      </w:tr>
      <w:tr>
        <w:trPr>
          <w:trHeight w:val="243"/>
        </w:trPr>
        <w:tc>
          <w:tcPr>
            <w:tcW w:w="2840" w:type="dxa"/>
            <w:vAlign w:val="bottom"/>
          </w:tcPr>
          <w:p>
            <w:pPr>
              <w:spacing w:after="0"/>
              <w:rPr>
                <w:sz w:val="21"/>
                <w:szCs w:val="21"/>
                <w:color w:val="auto"/>
              </w:rPr>
            </w:pPr>
          </w:p>
        </w:tc>
        <w:tc>
          <w:tcPr>
            <w:tcW w:w="8400" w:type="dxa"/>
            <w:vAlign w:val="bottom"/>
          </w:tcPr>
          <w:p>
            <w:pPr>
              <w:ind w:left="620"/>
              <w:spacing w:after="0" w:line="243" w:lineRule="exact"/>
              <w:rPr>
                <w:sz w:val="20"/>
                <w:szCs w:val="20"/>
                <w:color w:val="auto"/>
              </w:rPr>
            </w:pPr>
            <w:r>
              <w:rPr>
                <w:rFonts w:ascii="Calibri" w:cs="Calibri" w:eastAsia="Calibri" w:hAnsi="Calibri"/>
                <w:sz w:val="20"/>
                <w:szCs w:val="20"/>
                <w:color w:val="auto"/>
              </w:rPr>
              <w:t>made to you by the Company, and the cost of repairing any damage or loss to the Company’s</w:t>
            </w:r>
          </w:p>
        </w:tc>
      </w:tr>
      <w:tr>
        <w:trPr>
          <w:trHeight w:val="243"/>
        </w:trPr>
        <w:tc>
          <w:tcPr>
            <w:tcW w:w="2840" w:type="dxa"/>
            <w:vAlign w:val="bottom"/>
          </w:tcPr>
          <w:p>
            <w:pPr>
              <w:spacing w:after="0"/>
              <w:rPr>
                <w:sz w:val="21"/>
                <w:szCs w:val="21"/>
                <w:color w:val="auto"/>
              </w:rPr>
            </w:pPr>
          </w:p>
        </w:tc>
        <w:tc>
          <w:tcPr>
            <w:tcW w:w="8400" w:type="dxa"/>
            <w:vAlign w:val="bottom"/>
          </w:tcPr>
          <w:p>
            <w:pPr>
              <w:ind w:left="620"/>
              <w:spacing w:after="0" w:line="243" w:lineRule="exact"/>
              <w:rPr>
                <w:sz w:val="20"/>
                <w:szCs w:val="20"/>
                <w:color w:val="auto"/>
              </w:rPr>
            </w:pPr>
            <w:r>
              <w:rPr>
                <w:rFonts w:ascii="Calibri" w:cs="Calibri" w:eastAsia="Calibri" w:hAnsi="Calibri"/>
                <w:sz w:val="20"/>
                <w:szCs w:val="20"/>
                <w:color w:val="auto"/>
              </w:rPr>
              <w:t>property caused by you.</w:t>
            </w:r>
          </w:p>
        </w:tc>
      </w:tr>
      <w:tr>
        <w:trPr>
          <w:trHeight w:val="512"/>
        </w:trPr>
        <w:tc>
          <w:tcPr>
            <w:tcW w:w="2840" w:type="dxa"/>
            <w:vAlign w:val="bottom"/>
          </w:tcPr>
          <w:p>
            <w:pPr>
              <w:ind w:left="100"/>
              <w:spacing w:after="0"/>
              <w:rPr>
                <w:sz w:val="20"/>
                <w:szCs w:val="20"/>
                <w:color w:val="auto"/>
              </w:rPr>
            </w:pPr>
            <w:r>
              <w:rPr>
                <w:rFonts w:ascii="Calibri" w:cs="Calibri" w:eastAsia="Calibri" w:hAnsi="Calibri"/>
                <w:sz w:val="20"/>
                <w:szCs w:val="20"/>
                <w:b w:val="1"/>
                <w:bCs w:val="1"/>
                <w:color w:val="auto"/>
              </w:rPr>
              <w:t>Hours of Work:</w:t>
            </w:r>
          </w:p>
        </w:tc>
        <w:tc>
          <w:tcPr>
            <w:tcW w:w="8400" w:type="dxa"/>
            <w:vAlign w:val="bottom"/>
          </w:tcPr>
          <w:p>
            <w:pPr>
              <w:ind w:left="620"/>
              <w:spacing w:after="0"/>
              <w:rPr>
                <w:sz w:val="20"/>
                <w:szCs w:val="20"/>
                <w:color w:val="auto"/>
              </w:rPr>
            </w:pPr>
            <w:r>
              <w:rPr>
                <w:rFonts w:ascii="Calibri" w:cs="Calibri" w:eastAsia="Calibri" w:hAnsi="Calibri"/>
                <w:sz w:val="20"/>
                <w:szCs w:val="20"/>
                <w:color w:val="auto"/>
              </w:rPr>
              <w:t>Your normal hours of work are 35 hours per week, 09:30 – 17:30, Monday to Friday each</w:t>
            </w:r>
          </w:p>
        </w:tc>
      </w:tr>
      <w:tr>
        <w:trPr>
          <w:trHeight w:val="243"/>
        </w:trPr>
        <w:tc>
          <w:tcPr>
            <w:tcW w:w="2840" w:type="dxa"/>
            <w:vAlign w:val="bottom"/>
          </w:tcPr>
          <w:p>
            <w:pPr>
              <w:spacing w:after="0"/>
              <w:rPr>
                <w:sz w:val="21"/>
                <w:szCs w:val="21"/>
                <w:color w:val="auto"/>
              </w:rPr>
            </w:pPr>
          </w:p>
        </w:tc>
        <w:tc>
          <w:tcPr>
            <w:tcW w:w="8400" w:type="dxa"/>
            <w:vAlign w:val="bottom"/>
          </w:tcPr>
          <w:p>
            <w:pPr>
              <w:ind w:left="620"/>
              <w:spacing w:after="0" w:line="243" w:lineRule="exact"/>
              <w:rPr>
                <w:sz w:val="20"/>
                <w:szCs w:val="20"/>
                <w:color w:val="auto"/>
              </w:rPr>
            </w:pPr>
            <w:r>
              <w:rPr>
                <w:rFonts w:ascii="Calibri" w:cs="Calibri" w:eastAsia="Calibri" w:hAnsi="Calibri"/>
                <w:sz w:val="20"/>
                <w:szCs w:val="20"/>
                <w:color w:val="auto"/>
              </w:rPr>
              <w:t>week (but excluding public holidays) or as agreed locally by Management and/or local</w:t>
            </w:r>
          </w:p>
        </w:tc>
      </w:tr>
      <w:tr>
        <w:trPr>
          <w:trHeight w:val="243"/>
        </w:trPr>
        <w:tc>
          <w:tcPr>
            <w:tcW w:w="2840" w:type="dxa"/>
            <w:vAlign w:val="bottom"/>
          </w:tcPr>
          <w:p>
            <w:pPr>
              <w:spacing w:after="0"/>
              <w:rPr>
                <w:sz w:val="21"/>
                <w:szCs w:val="21"/>
                <w:color w:val="auto"/>
              </w:rPr>
            </w:pPr>
          </w:p>
        </w:tc>
        <w:tc>
          <w:tcPr>
            <w:tcW w:w="8400" w:type="dxa"/>
            <w:vAlign w:val="bottom"/>
          </w:tcPr>
          <w:p>
            <w:pPr>
              <w:ind w:left="620"/>
              <w:spacing w:after="0" w:line="243" w:lineRule="exact"/>
              <w:rPr>
                <w:sz w:val="20"/>
                <w:szCs w:val="20"/>
                <w:color w:val="auto"/>
              </w:rPr>
            </w:pPr>
            <w:r>
              <w:rPr>
                <w:rFonts w:ascii="Calibri" w:cs="Calibri" w:eastAsia="Calibri" w:hAnsi="Calibri"/>
                <w:sz w:val="20"/>
                <w:szCs w:val="20"/>
                <w:color w:val="auto"/>
              </w:rPr>
              <w:t>practce.</w:t>
            </w:r>
          </w:p>
        </w:tc>
      </w:tr>
      <w:tr>
        <w:trPr>
          <w:trHeight w:val="485"/>
        </w:trPr>
        <w:tc>
          <w:tcPr>
            <w:tcW w:w="2840" w:type="dxa"/>
            <w:vAlign w:val="bottom"/>
          </w:tcPr>
          <w:p>
            <w:pPr>
              <w:spacing w:after="0"/>
              <w:rPr>
                <w:sz w:val="24"/>
                <w:szCs w:val="24"/>
                <w:color w:val="auto"/>
              </w:rPr>
            </w:pPr>
          </w:p>
        </w:tc>
        <w:tc>
          <w:tcPr>
            <w:tcW w:w="8400" w:type="dxa"/>
            <w:vAlign w:val="bottom"/>
          </w:tcPr>
          <w:p>
            <w:pPr>
              <w:ind w:left="620"/>
              <w:spacing w:after="0"/>
              <w:rPr>
                <w:sz w:val="20"/>
                <w:szCs w:val="20"/>
                <w:color w:val="auto"/>
              </w:rPr>
            </w:pPr>
            <w:r>
              <w:rPr>
                <w:rFonts w:ascii="Calibri" w:cs="Calibri" w:eastAsia="Calibri" w:hAnsi="Calibri"/>
                <w:sz w:val="20"/>
                <w:szCs w:val="20"/>
                <w:color w:val="auto"/>
              </w:rPr>
              <w:t>Unless otherwise agreed, these hours shall include one hour for lunch to be taken at a tme</w:t>
            </w:r>
          </w:p>
        </w:tc>
      </w:tr>
      <w:tr>
        <w:trPr>
          <w:trHeight w:val="243"/>
        </w:trPr>
        <w:tc>
          <w:tcPr>
            <w:tcW w:w="2840" w:type="dxa"/>
            <w:vAlign w:val="bottom"/>
          </w:tcPr>
          <w:p>
            <w:pPr>
              <w:spacing w:after="0"/>
              <w:rPr>
                <w:sz w:val="21"/>
                <w:szCs w:val="21"/>
                <w:color w:val="auto"/>
              </w:rPr>
            </w:pPr>
          </w:p>
        </w:tc>
        <w:tc>
          <w:tcPr>
            <w:tcW w:w="8400" w:type="dxa"/>
            <w:vAlign w:val="bottom"/>
          </w:tcPr>
          <w:p>
            <w:pPr>
              <w:ind w:left="620"/>
              <w:spacing w:after="0" w:line="243" w:lineRule="exact"/>
              <w:rPr>
                <w:sz w:val="20"/>
                <w:szCs w:val="20"/>
                <w:color w:val="auto"/>
              </w:rPr>
            </w:pPr>
            <w:r>
              <w:rPr>
                <w:rFonts w:ascii="Calibri" w:cs="Calibri" w:eastAsia="Calibri" w:hAnsi="Calibri"/>
                <w:sz w:val="20"/>
                <w:szCs w:val="20"/>
                <w:color w:val="auto"/>
              </w:rPr>
              <w:t>agreed with your Manager or Director.</w:t>
            </w:r>
          </w:p>
        </w:tc>
      </w:tr>
      <w:tr>
        <w:trPr>
          <w:trHeight w:val="485"/>
        </w:trPr>
        <w:tc>
          <w:tcPr>
            <w:tcW w:w="2840" w:type="dxa"/>
            <w:vAlign w:val="bottom"/>
          </w:tcPr>
          <w:p>
            <w:pPr>
              <w:spacing w:after="0"/>
              <w:rPr>
                <w:sz w:val="24"/>
                <w:szCs w:val="24"/>
                <w:color w:val="auto"/>
              </w:rPr>
            </w:pPr>
          </w:p>
        </w:tc>
        <w:tc>
          <w:tcPr>
            <w:tcW w:w="8400" w:type="dxa"/>
            <w:vAlign w:val="bottom"/>
          </w:tcPr>
          <w:p>
            <w:pPr>
              <w:ind w:left="620"/>
              <w:spacing w:after="0"/>
              <w:rPr>
                <w:sz w:val="20"/>
                <w:szCs w:val="20"/>
                <w:color w:val="auto"/>
              </w:rPr>
            </w:pPr>
            <w:r>
              <w:rPr>
                <w:rFonts w:ascii="Calibri" w:cs="Calibri" w:eastAsia="Calibri" w:hAnsi="Calibri"/>
                <w:sz w:val="20"/>
                <w:szCs w:val="20"/>
                <w:color w:val="auto"/>
              </w:rPr>
              <w:t>You will be expected to work such additonal hours as necessary to meet the demands of the</w:t>
            </w:r>
          </w:p>
        </w:tc>
      </w:tr>
      <w:tr>
        <w:trPr>
          <w:trHeight w:val="243"/>
        </w:trPr>
        <w:tc>
          <w:tcPr>
            <w:tcW w:w="2840" w:type="dxa"/>
            <w:vAlign w:val="bottom"/>
          </w:tcPr>
          <w:p>
            <w:pPr>
              <w:spacing w:after="0"/>
              <w:rPr>
                <w:sz w:val="21"/>
                <w:szCs w:val="21"/>
                <w:color w:val="auto"/>
              </w:rPr>
            </w:pPr>
          </w:p>
        </w:tc>
        <w:tc>
          <w:tcPr>
            <w:tcW w:w="8400" w:type="dxa"/>
            <w:vAlign w:val="bottom"/>
          </w:tcPr>
          <w:p>
            <w:pPr>
              <w:ind w:left="620"/>
              <w:spacing w:after="0" w:line="243" w:lineRule="exact"/>
              <w:rPr>
                <w:sz w:val="20"/>
                <w:szCs w:val="20"/>
                <w:color w:val="auto"/>
              </w:rPr>
            </w:pPr>
            <w:r>
              <w:rPr>
                <w:rFonts w:ascii="Calibri" w:cs="Calibri" w:eastAsia="Calibri" w:hAnsi="Calibri"/>
                <w:sz w:val="20"/>
                <w:szCs w:val="20"/>
                <w:color w:val="auto"/>
              </w:rPr>
              <w:t>business. You may also be required to vary the patern of your working hours as necessitated</w:t>
            </w:r>
          </w:p>
        </w:tc>
      </w:tr>
      <w:tr>
        <w:trPr>
          <w:trHeight w:val="243"/>
        </w:trPr>
        <w:tc>
          <w:tcPr>
            <w:tcW w:w="2840" w:type="dxa"/>
            <w:vAlign w:val="bottom"/>
          </w:tcPr>
          <w:p>
            <w:pPr>
              <w:spacing w:after="0"/>
              <w:rPr>
                <w:sz w:val="21"/>
                <w:szCs w:val="21"/>
                <w:color w:val="auto"/>
              </w:rPr>
            </w:pPr>
          </w:p>
        </w:tc>
        <w:tc>
          <w:tcPr>
            <w:tcW w:w="8400" w:type="dxa"/>
            <w:vAlign w:val="bottom"/>
          </w:tcPr>
          <w:p>
            <w:pPr>
              <w:ind w:left="620"/>
              <w:spacing w:after="0" w:line="243" w:lineRule="exact"/>
              <w:rPr>
                <w:sz w:val="20"/>
                <w:szCs w:val="20"/>
                <w:color w:val="auto"/>
              </w:rPr>
            </w:pPr>
            <w:r>
              <w:rPr>
                <w:rFonts w:ascii="Calibri" w:cs="Calibri" w:eastAsia="Calibri" w:hAnsi="Calibri"/>
                <w:sz w:val="20"/>
                <w:szCs w:val="20"/>
                <w:color w:val="auto"/>
              </w:rPr>
              <w:t>by changing commercial needs, if in the reasonable opinion of the Company it is practcable</w:t>
            </w:r>
          </w:p>
        </w:tc>
      </w:tr>
      <w:tr>
        <w:trPr>
          <w:trHeight w:val="243"/>
        </w:trPr>
        <w:tc>
          <w:tcPr>
            <w:tcW w:w="2840" w:type="dxa"/>
            <w:vAlign w:val="bottom"/>
          </w:tcPr>
          <w:p>
            <w:pPr>
              <w:spacing w:after="0"/>
              <w:rPr>
                <w:sz w:val="21"/>
                <w:szCs w:val="21"/>
                <w:color w:val="auto"/>
              </w:rPr>
            </w:pPr>
          </w:p>
        </w:tc>
        <w:tc>
          <w:tcPr>
            <w:tcW w:w="8400" w:type="dxa"/>
            <w:vAlign w:val="bottom"/>
          </w:tcPr>
          <w:p>
            <w:pPr>
              <w:ind w:left="620"/>
              <w:spacing w:after="0" w:line="243" w:lineRule="exact"/>
              <w:rPr>
                <w:sz w:val="20"/>
                <w:szCs w:val="20"/>
                <w:color w:val="auto"/>
              </w:rPr>
            </w:pPr>
            <w:r>
              <w:rPr>
                <w:rFonts w:ascii="Calibri" w:cs="Calibri" w:eastAsia="Calibri" w:hAnsi="Calibri"/>
                <w:sz w:val="20"/>
                <w:szCs w:val="20"/>
                <w:color w:val="auto"/>
              </w:rPr>
              <w:t>for you to comply. Any additonal hours worked are subject to the provisions of the Working</w:t>
            </w:r>
          </w:p>
        </w:tc>
      </w:tr>
      <w:tr>
        <w:trPr>
          <w:trHeight w:val="243"/>
        </w:trPr>
        <w:tc>
          <w:tcPr>
            <w:tcW w:w="2840" w:type="dxa"/>
            <w:vAlign w:val="bottom"/>
          </w:tcPr>
          <w:p>
            <w:pPr>
              <w:spacing w:after="0"/>
              <w:rPr>
                <w:sz w:val="21"/>
                <w:szCs w:val="21"/>
                <w:color w:val="auto"/>
              </w:rPr>
            </w:pPr>
          </w:p>
        </w:tc>
        <w:tc>
          <w:tcPr>
            <w:tcW w:w="8400" w:type="dxa"/>
            <w:vAlign w:val="bottom"/>
          </w:tcPr>
          <w:p>
            <w:pPr>
              <w:ind w:left="620"/>
              <w:spacing w:after="0" w:line="243" w:lineRule="exact"/>
              <w:rPr>
                <w:sz w:val="20"/>
                <w:szCs w:val="20"/>
                <w:color w:val="auto"/>
              </w:rPr>
            </w:pPr>
            <w:r>
              <w:rPr>
                <w:rFonts w:ascii="Calibri" w:cs="Calibri" w:eastAsia="Calibri" w:hAnsi="Calibri"/>
                <w:sz w:val="20"/>
                <w:szCs w:val="20"/>
                <w:color w:val="auto"/>
              </w:rPr>
              <w:t>Time Regulatons 1998 and any amendment(s) to the Regulatons thereof.</w:t>
            </w:r>
          </w:p>
        </w:tc>
      </w:tr>
      <w:tr>
        <w:trPr>
          <w:trHeight w:val="512"/>
        </w:trPr>
        <w:tc>
          <w:tcPr>
            <w:tcW w:w="2840" w:type="dxa"/>
            <w:vAlign w:val="bottom"/>
          </w:tcPr>
          <w:p>
            <w:pPr>
              <w:ind w:left="100"/>
              <w:spacing w:after="0"/>
              <w:rPr>
                <w:sz w:val="20"/>
                <w:szCs w:val="20"/>
                <w:color w:val="auto"/>
              </w:rPr>
            </w:pPr>
            <w:r>
              <w:rPr>
                <w:rFonts w:ascii="Calibri" w:cs="Calibri" w:eastAsia="Calibri" w:hAnsi="Calibri"/>
                <w:sz w:val="20"/>
                <w:szCs w:val="20"/>
                <w:b w:val="1"/>
                <w:bCs w:val="1"/>
                <w:color w:val="auto"/>
              </w:rPr>
              <w:t>Employment Obligatons:</w:t>
            </w:r>
          </w:p>
        </w:tc>
        <w:tc>
          <w:tcPr>
            <w:tcW w:w="8400" w:type="dxa"/>
            <w:vAlign w:val="bottom"/>
          </w:tcPr>
          <w:p>
            <w:pPr>
              <w:ind w:left="620"/>
              <w:spacing w:after="0"/>
              <w:rPr>
                <w:sz w:val="20"/>
                <w:szCs w:val="20"/>
                <w:color w:val="auto"/>
              </w:rPr>
            </w:pPr>
            <w:r>
              <w:rPr>
                <w:rFonts w:ascii="Calibri" w:cs="Calibri" w:eastAsia="Calibri" w:hAnsi="Calibri"/>
                <w:sz w:val="20"/>
                <w:szCs w:val="20"/>
                <w:color w:val="auto"/>
              </w:rPr>
              <w:t>During your working hours you must devote the whole of your tme, atenton and ability to</w:t>
            </w:r>
          </w:p>
        </w:tc>
      </w:tr>
      <w:tr>
        <w:trPr>
          <w:trHeight w:val="243"/>
        </w:trPr>
        <w:tc>
          <w:tcPr>
            <w:tcW w:w="2840" w:type="dxa"/>
            <w:vAlign w:val="bottom"/>
          </w:tcPr>
          <w:p>
            <w:pPr>
              <w:spacing w:after="0"/>
              <w:rPr>
                <w:sz w:val="21"/>
                <w:szCs w:val="21"/>
                <w:color w:val="auto"/>
              </w:rPr>
            </w:pPr>
          </w:p>
        </w:tc>
        <w:tc>
          <w:tcPr>
            <w:tcW w:w="8400" w:type="dxa"/>
            <w:vAlign w:val="bottom"/>
          </w:tcPr>
          <w:p>
            <w:pPr>
              <w:ind w:left="620"/>
              <w:spacing w:after="0" w:line="243" w:lineRule="exact"/>
              <w:rPr>
                <w:sz w:val="20"/>
                <w:szCs w:val="20"/>
                <w:color w:val="auto"/>
              </w:rPr>
            </w:pPr>
            <w:r>
              <w:rPr>
                <w:rFonts w:ascii="Calibri" w:cs="Calibri" w:eastAsia="Calibri" w:hAnsi="Calibri"/>
                <w:sz w:val="20"/>
                <w:szCs w:val="20"/>
                <w:color w:val="auto"/>
              </w:rPr>
              <w:t>the business of the Company and at all tmes you must promote the interest and general</w:t>
            </w:r>
          </w:p>
        </w:tc>
      </w:tr>
      <w:tr>
        <w:trPr>
          <w:trHeight w:val="243"/>
        </w:trPr>
        <w:tc>
          <w:tcPr>
            <w:tcW w:w="2840" w:type="dxa"/>
            <w:vAlign w:val="bottom"/>
          </w:tcPr>
          <w:p>
            <w:pPr>
              <w:spacing w:after="0"/>
              <w:rPr>
                <w:sz w:val="21"/>
                <w:szCs w:val="21"/>
                <w:color w:val="auto"/>
              </w:rPr>
            </w:pPr>
          </w:p>
        </w:tc>
        <w:tc>
          <w:tcPr>
            <w:tcW w:w="8400" w:type="dxa"/>
            <w:vAlign w:val="bottom"/>
          </w:tcPr>
          <w:p>
            <w:pPr>
              <w:ind w:left="620"/>
              <w:spacing w:after="0" w:line="243" w:lineRule="exact"/>
              <w:rPr>
                <w:sz w:val="20"/>
                <w:szCs w:val="20"/>
                <w:color w:val="auto"/>
              </w:rPr>
            </w:pPr>
            <w:r>
              <w:rPr>
                <w:rFonts w:ascii="Calibri" w:cs="Calibri" w:eastAsia="Calibri" w:hAnsi="Calibri"/>
                <w:sz w:val="20"/>
                <w:szCs w:val="20"/>
                <w:color w:val="auto"/>
              </w:rPr>
              <w:t>welfare of the Group.</w:t>
            </w:r>
          </w:p>
        </w:tc>
      </w:tr>
      <w:tr>
        <w:trPr>
          <w:trHeight w:val="485"/>
        </w:trPr>
        <w:tc>
          <w:tcPr>
            <w:tcW w:w="2840" w:type="dxa"/>
            <w:vAlign w:val="bottom"/>
          </w:tcPr>
          <w:p>
            <w:pPr>
              <w:spacing w:after="0"/>
              <w:rPr>
                <w:sz w:val="24"/>
                <w:szCs w:val="24"/>
                <w:color w:val="auto"/>
              </w:rPr>
            </w:pPr>
          </w:p>
        </w:tc>
        <w:tc>
          <w:tcPr>
            <w:tcW w:w="8400" w:type="dxa"/>
            <w:vAlign w:val="bottom"/>
          </w:tcPr>
          <w:p>
            <w:pPr>
              <w:ind w:left="620"/>
              <w:spacing w:after="0"/>
              <w:rPr>
                <w:sz w:val="20"/>
                <w:szCs w:val="20"/>
                <w:color w:val="auto"/>
              </w:rPr>
            </w:pPr>
            <w:r>
              <w:rPr>
                <w:rFonts w:ascii="Calibri" w:cs="Calibri" w:eastAsia="Calibri" w:hAnsi="Calibri"/>
                <w:sz w:val="20"/>
                <w:szCs w:val="20"/>
                <w:color w:val="auto"/>
              </w:rPr>
              <w:t>Whilst this Contract is in force you may not take any outside employment or engage in any</w:t>
            </w:r>
          </w:p>
        </w:tc>
      </w:tr>
      <w:tr>
        <w:trPr>
          <w:trHeight w:val="243"/>
        </w:trPr>
        <w:tc>
          <w:tcPr>
            <w:tcW w:w="2840" w:type="dxa"/>
            <w:vAlign w:val="bottom"/>
          </w:tcPr>
          <w:p>
            <w:pPr>
              <w:spacing w:after="0"/>
              <w:rPr>
                <w:sz w:val="21"/>
                <w:szCs w:val="21"/>
                <w:color w:val="auto"/>
              </w:rPr>
            </w:pPr>
          </w:p>
        </w:tc>
        <w:tc>
          <w:tcPr>
            <w:tcW w:w="8400" w:type="dxa"/>
            <w:vAlign w:val="bottom"/>
          </w:tcPr>
          <w:p>
            <w:pPr>
              <w:ind w:left="620"/>
              <w:spacing w:after="0" w:line="243" w:lineRule="exact"/>
              <w:rPr>
                <w:sz w:val="20"/>
                <w:szCs w:val="20"/>
                <w:color w:val="auto"/>
              </w:rPr>
            </w:pPr>
            <w:r>
              <w:rPr>
                <w:rFonts w:ascii="Calibri" w:cs="Calibri" w:eastAsia="Calibri" w:hAnsi="Calibri"/>
                <w:sz w:val="20"/>
                <w:szCs w:val="20"/>
                <w:color w:val="auto"/>
              </w:rPr>
              <w:t>business without prior writen agreement of your Partners Group Member nor may your</w:t>
            </w:r>
          </w:p>
        </w:tc>
      </w:tr>
      <w:tr>
        <w:trPr>
          <w:trHeight w:val="243"/>
        </w:trPr>
        <w:tc>
          <w:tcPr>
            <w:tcW w:w="2840" w:type="dxa"/>
            <w:vAlign w:val="bottom"/>
          </w:tcPr>
          <w:p>
            <w:pPr>
              <w:spacing w:after="0"/>
              <w:rPr>
                <w:sz w:val="21"/>
                <w:szCs w:val="21"/>
                <w:color w:val="auto"/>
              </w:rPr>
            </w:pPr>
          </w:p>
        </w:tc>
        <w:tc>
          <w:tcPr>
            <w:tcW w:w="8400" w:type="dxa"/>
            <w:vAlign w:val="bottom"/>
          </w:tcPr>
          <w:p>
            <w:pPr>
              <w:ind w:left="620"/>
              <w:spacing w:after="0" w:line="243" w:lineRule="exact"/>
              <w:rPr>
                <w:sz w:val="20"/>
                <w:szCs w:val="20"/>
                <w:color w:val="auto"/>
              </w:rPr>
            </w:pPr>
            <w:r>
              <w:rPr>
                <w:rFonts w:ascii="Calibri" w:cs="Calibri" w:eastAsia="Calibri" w:hAnsi="Calibri"/>
                <w:sz w:val="20"/>
                <w:szCs w:val="20"/>
                <w:color w:val="auto"/>
              </w:rPr>
              <w:t>additonal employment render your total working tme in breach of the Working Time</w:t>
            </w:r>
          </w:p>
        </w:tc>
      </w:tr>
      <w:tr>
        <w:trPr>
          <w:trHeight w:val="243"/>
        </w:trPr>
        <w:tc>
          <w:tcPr>
            <w:tcW w:w="2840" w:type="dxa"/>
            <w:vAlign w:val="bottom"/>
          </w:tcPr>
          <w:p>
            <w:pPr>
              <w:spacing w:after="0"/>
              <w:rPr>
                <w:sz w:val="21"/>
                <w:szCs w:val="21"/>
                <w:color w:val="auto"/>
              </w:rPr>
            </w:pPr>
          </w:p>
        </w:tc>
        <w:tc>
          <w:tcPr>
            <w:tcW w:w="8400" w:type="dxa"/>
            <w:vAlign w:val="bottom"/>
          </w:tcPr>
          <w:p>
            <w:pPr>
              <w:ind w:left="620"/>
              <w:spacing w:after="0" w:line="243" w:lineRule="exact"/>
              <w:rPr>
                <w:sz w:val="20"/>
                <w:szCs w:val="20"/>
                <w:color w:val="auto"/>
              </w:rPr>
            </w:pPr>
            <w:r>
              <w:rPr>
                <w:rFonts w:ascii="Calibri" w:cs="Calibri" w:eastAsia="Calibri" w:hAnsi="Calibri"/>
                <w:sz w:val="20"/>
                <w:szCs w:val="20"/>
                <w:color w:val="auto"/>
              </w:rPr>
              <w:t>Regulatons.</w:t>
            </w:r>
          </w:p>
        </w:tc>
      </w:tr>
      <w:tr>
        <w:trPr>
          <w:trHeight w:val="485"/>
        </w:trPr>
        <w:tc>
          <w:tcPr>
            <w:tcW w:w="2840" w:type="dxa"/>
            <w:vAlign w:val="bottom"/>
          </w:tcPr>
          <w:p>
            <w:pPr>
              <w:spacing w:after="0"/>
              <w:rPr>
                <w:sz w:val="24"/>
                <w:szCs w:val="24"/>
                <w:color w:val="auto"/>
              </w:rPr>
            </w:pPr>
          </w:p>
        </w:tc>
        <w:tc>
          <w:tcPr>
            <w:tcW w:w="8400" w:type="dxa"/>
            <w:vAlign w:val="bottom"/>
          </w:tcPr>
          <w:p>
            <w:pPr>
              <w:ind w:left="620"/>
              <w:spacing w:after="0"/>
              <w:rPr>
                <w:sz w:val="20"/>
                <w:szCs w:val="20"/>
                <w:color w:val="auto"/>
              </w:rPr>
            </w:pPr>
            <w:r>
              <w:rPr>
                <w:rFonts w:ascii="Calibri" w:cs="Calibri" w:eastAsia="Calibri" w:hAnsi="Calibri"/>
                <w:sz w:val="20"/>
                <w:szCs w:val="20"/>
                <w:color w:val="auto"/>
              </w:rPr>
              <w:t>You are not permited to engage in any actvity, which might interfere with the performance</w:t>
            </w:r>
          </w:p>
        </w:tc>
      </w:tr>
      <w:tr>
        <w:trPr>
          <w:trHeight w:val="243"/>
        </w:trPr>
        <w:tc>
          <w:tcPr>
            <w:tcW w:w="2840" w:type="dxa"/>
            <w:vAlign w:val="bottom"/>
          </w:tcPr>
          <w:p>
            <w:pPr>
              <w:spacing w:after="0"/>
              <w:rPr>
                <w:sz w:val="21"/>
                <w:szCs w:val="21"/>
                <w:color w:val="auto"/>
              </w:rPr>
            </w:pPr>
          </w:p>
        </w:tc>
        <w:tc>
          <w:tcPr>
            <w:tcW w:w="8400" w:type="dxa"/>
            <w:vAlign w:val="bottom"/>
          </w:tcPr>
          <w:p>
            <w:pPr>
              <w:ind w:left="620"/>
              <w:spacing w:after="0" w:line="243" w:lineRule="exact"/>
              <w:rPr>
                <w:sz w:val="20"/>
                <w:szCs w:val="20"/>
                <w:color w:val="auto"/>
              </w:rPr>
            </w:pPr>
            <w:r>
              <w:rPr>
                <w:rFonts w:ascii="Calibri" w:cs="Calibri" w:eastAsia="Calibri" w:hAnsi="Calibri"/>
                <w:sz w:val="20"/>
                <w:szCs w:val="20"/>
                <w:color w:val="auto"/>
              </w:rPr>
              <w:t>of your dutes or cause a confict of interest.</w:t>
            </w:r>
          </w:p>
        </w:tc>
      </w:tr>
      <w:tr>
        <w:trPr>
          <w:trHeight w:val="256"/>
        </w:trPr>
        <w:tc>
          <w:tcPr>
            <w:tcW w:w="2840" w:type="dxa"/>
            <w:vAlign w:val="bottom"/>
          </w:tcPr>
          <w:p>
            <w:pPr>
              <w:jc w:val="right"/>
              <w:ind w:right="2641"/>
              <w:spacing w:after="0"/>
              <w:rPr>
                <w:sz w:val="20"/>
                <w:szCs w:val="20"/>
                <w:color w:val="auto"/>
              </w:rPr>
            </w:pPr>
            <w:r>
              <w:rPr>
                <w:rFonts w:ascii="Calibri" w:cs="Calibri" w:eastAsia="Calibri" w:hAnsi="Calibri"/>
                <w:sz w:val="20"/>
                <w:szCs w:val="20"/>
                <w:color w:val="auto"/>
                <w:w w:val="78"/>
              </w:rPr>
              <w:t>3</w:t>
            </w:r>
          </w:p>
        </w:tc>
        <w:tc>
          <w:tcPr>
            <w:tcW w:w="8400" w:type="dxa"/>
            <w:vAlign w:val="bottom"/>
          </w:tcPr>
          <w:p>
            <w:pPr>
              <w:spacing w:after="0"/>
              <w:rPr>
                <w:sz w:val="22"/>
                <w:szCs w:val="22"/>
                <w:color w:val="auto"/>
              </w:rPr>
            </w:pPr>
          </w:p>
        </w:tc>
      </w:tr>
      <w:tr>
        <w:trPr>
          <w:trHeight w:val="148"/>
        </w:trPr>
        <w:tc>
          <w:tcPr>
            <w:tcW w:w="2840" w:type="dxa"/>
            <w:vAlign w:val="bottom"/>
            <w:tcBorders>
              <w:bottom w:val="single" w:sz="8" w:color="9A9A9A"/>
            </w:tcBorders>
          </w:tcPr>
          <w:p>
            <w:pPr>
              <w:spacing w:after="0"/>
              <w:rPr>
                <w:sz w:val="12"/>
                <w:szCs w:val="12"/>
                <w:color w:val="auto"/>
              </w:rPr>
            </w:pPr>
          </w:p>
        </w:tc>
        <w:tc>
          <w:tcPr>
            <w:tcW w:w="840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8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44"/>
        </w:trPr>
        <w:tc>
          <w:tcPr>
            <w:tcW w:w="2700" w:type="dxa"/>
            <w:vAlign w:val="bottom"/>
          </w:tcPr>
          <w:p>
            <w:pPr>
              <w:ind w:left="100"/>
              <w:spacing w:after="0"/>
              <w:rPr>
                <w:sz w:val="20"/>
                <w:szCs w:val="20"/>
                <w:color w:val="auto"/>
              </w:rPr>
            </w:pPr>
            <w:r>
              <w:rPr>
                <w:rFonts w:ascii="Calibri" w:cs="Calibri" w:eastAsia="Calibri" w:hAnsi="Calibri"/>
                <w:sz w:val="20"/>
                <w:szCs w:val="20"/>
                <w:b w:val="1"/>
                <w:bCs w:val="1"/>
                <w:color w:val="auto"/>
              </w:rPr>
              <w:t>Errors and Omissions:</w:t>
            </w:r>
          </w:p>
        </w:tc>
        <w:tc>
          <w:tcPr>
            <w:tcW w:w="8540" w:type="dxa"/>
            <w:vAlign w:val="bottom"/>
          </w:tcPr>
          <w:p>
            <w:pPr>
              <w:ind w:left="760"/>
              <w:spacing w:after="0"/>
              <w:rPr>
                <w:sz w:val="20"/>
                <w:szCs w:val="20"/>
                <w:color w:val="auto"/>
              </w:rPr>
            </w:pPr>
            <w:r>
              <w:rPr>
                <w:rFonts w:ascii="Calibri" w:cs="Calibri" w:eastAsia="Calibri" w:hAnsi="Calibri"/>
                <w:sz w:val="20"/>
                <w:szCs w:val="20"/>
                <w:color w:val="auto"/>
              </w:rPr>
              <w:t>During and following terminaton of your employment you agree to:</w:t>
            </w:r>
          </w:p>
        </w:tc>
      </w:tr>
      <w:tr>
        <w:trPr>
          <w:trHeight w:val="507"/>
        </w:trPr>
        <w:tc>
          <w:tcPr>
            <w:tcW w:w="2700" w:type="dxa"/>
            <w:vAlign w:val="bottom"/>
          </w:tcPr>
          <w:p>
            <w:pPr>
              <w:spacing w:after="0"/>
              <w:rPr>
                <w:sz w:val="24"/>
                <w:szCs w:val="24"/>
                <w:color w:val="auto"/>
              </w:rPr>
            </w:pPr>
          </w:p>
        </w:tc>
        <w:tc>
          <w:tcPr>
            <w:tcW w:w="8540" w:type="dxa"/>
            <w:vAlign w:val="bottom"/>
          </w:tcPr>
          <w:p>
            <w:pPr>
              <w:ind w:left="1080"/>
              <w:spacing w:after="0"/>
              <w:rPr>
                <w:sz w:val="20"/>
                <w:szCs w:val="20"/>
                <w:color w:val="auto"/>
              </w:rPr>
            </w:pPr>
            <w:r>
              <w:rPr>
                <w:rFonts w:ascii="Times New Roman" w:cs="Times New Roman" w:eastAsia="Times New Roman" w:hAnsi="Times New Roman"/>
                <w:sz w:val="20"/>
                <w:szCs w:val="20"/>
                <w:color w:val="auto"/>
              </w:rPr>
              <w:t xml:space="preserve">a) </w:t>
            </w:r>
            <w:r>
              <w:rPr>
                <w:rFonts w:ascii="Calibri" w:cs="Calibri" w:eastAsia="Calibri" w:hAnsi="Calibri"/>
                <w:sz w:val="20"/>
                <w:szCs w:val="20"/>
                <w:color w:val="auto"/>
              </w:rPr>
              <w:t>provide the Company with full co-operaton and assistance where necessary in</w:t>
            </w:r>
          </w:p>
        </w:tc>
      </w:tr>
      <w:tr>
        <w:trPr>
          <w:trHeight w:val="234"/>
        </w:trPr>
        <w:tc>
          <w:tcPr>
            <w:tcW w:w="2700" w:type="dxa"/>
            <w:vAlign w:val="bottom"/>
          </w:tcPr>
          <w:p>
            <w:pPr>
              <w:spacing w:after="0"/>
              <w:rPr>
                <w:sz w:val="20"/>
                <w:szCs w:val="20"/>
                <w:color w:val="auto"/>
              </w:rPr>
            </w:pPr>
          </w:p>
        </w:tc>
        <w:tc>
          <w:tcPr>
            <w:tcW w:w="8540" w:type="dxa"/>
            <w:vAlign w:val="bottom"/>
          </w:tcPr>
          <w:p>
            <w:pPr>
              <w:ind w:left="1340"/>
              <w:spacing w:after="0" w:line="234" w:lineRule="exact"/>
              <w:rPr>
                <w:sz w:val="20"/>
                <w:szCs w:val="20"/>
                <w:color w:val="auto"/>
              </w:rPr>
            </w:pPr>
            <w:r>
              <w:rPr>
                <w:rFonts w:ascii="Calibri" w:cs="Calibri" w:eastAsia="Calibri" w:hAnsi="Calibri"/>
                <w:sz w:val="20"/>
                <w:szCs w:val="20"/>
                <w:color w:val="auto"/>
              </w:rPr>
              <w:t>relaton to any work carried out by you during your employment with the Company,</w:t>
            </w:r>
          </w:p>
        </w:tc>
      </w:tr>
      <w:tr>
        <w:trPr>
          <w:trHeight w:val="243"/>
        </w:trPr>
        <w:tc>
          <w:tcPr>
            <w:tcW w:w="2700" w:type="dxa"/>
            <w:vAlign w:val="bottom"/>
          </w:tcPr>
          <w:p>
            <w:pPr>
              <w:spacing w:after="0"/>
              <w:rPr>
                <w:sz w:val="21"/>
                <w:szCs w:val="21"/>
                <w:color w:val="auto"/>
              </w:rPr>
            </w:pPr>
          </w:p>
        </w:tc>
        <w:tc>
          <w:tcPr>
            <w:tcW w:w="8540" w:type="dxa"/>
            <w:vAlign w:val="bottom"/>
          </w:tcPr>
          <w:p>
            <w:pPr>
              <w:ind w:left="1340"/>
              <w:spacing w:after="0" w:line="243" w:lineRule="exact"/>
              <w:rPr>
                <w:sz w:val="20"/>
                <w:szCs w:val="20"/>
                <w:color w:val="auto"/>
              </w:rPr>
            </w:pPr>
            <w:r>
              <w:rPr>
                <w:rFonts w:ascii="Calibri" w:cs="Calibri" w:eastAsia="Calibri" w:hAnsi="Calibri"/>
                <w:sz w:val="20"/>
                <w:szCs w:val="20"/>
                <w:color w:val="auto"/>
              </w:rPr>
              <w:t>including but not to:</w:t>
            </w:r>
          </w:p>
        </w:tc>
      </w:tr>
      <w:tr>
        <w:trPr>
          <w:trHeight w:val="507"/>
        </w:trPr>
        <w:tc>
          <w:tcPr>
            <w:tcW w:w="2700" w:type="dxa"/>
            <w:vAlign w:val="bottom"/>
          </w:tcPr>
          <w:p>
            <w:pPr>
              <w:spacing w:after="0"/>
              <w:rPr>
                <w:sz w:val="24"/>
                <w:szCs w:val="24"/>
                <w:color w:val="auto"/>
              </w:rPr>
            </w:pPr>
          </w:p>
        </w:tc>
        <w:tc>
          <w:tcPr>
            <w:tcW w:w="8540" w:type="dxa"/>
            <w:vAlign w:val="bottom"/>
          </w:tcPr>
          <w:p>
            <w:pPr>
              <w:ind w:left="1400"/>
              <w:spacing w:after="0"/>
              <w:rPr>
                <w:sz w:val="20"/>
                <w:szCs w:val="20"/>
                <w:color w:val="auto"/>
              </w:rPr>
            </w:pPr>
            <w:r>
              <w:rPr>
                <w:rFonts w:ascii="Times New Roman" w:cs="Times New Roman" w:eastAsia="Times New Roman" w:hAnsi="Times New Roman"/>
                <w:sz w:val="20"/>
                <w:szCs w:val="20"/>
                <w:color w:val="auto"/>
              </w:rPr>
              <w:t xml:space="preserve">i.  </w:t>
            </w:r>
            <w:r>
              <w:rPr>
                <w:rFonts w:ascii="Calibri" w:cs="Calibri" w:eastAsia="Calibri" w:hAnsi="Calibri"/>
                <w:sz w:val="20"/>
                <w:szCs w:val="20"/>
                <w:color w:val="auto"/>
              </w:rPr>
              <w:t>providing informaton and a factual explanaton of your role in the insurance</w:t>
            </w:r>
          </w:p>
        </w:tc>
      </w:tr>
      <w:tr>
        <w:trPr>
          <w:trHeight w:val="234"/>
        </w:trPr>
        <w:tc>
          <w:tcPr>
            <w:tcW w:w="2700" w:type="dxa"/>
            <w:vAlign w:val="bottom"/>
          </w:tcPr>
          <w:p>
            <w:pPr>
              <w:spacing w:after="0"/>
              <w:rPr>
                <w:sz w:val="20"/>
                <w:szCs w:val="20"/>
                <w:color w:val="auto"/>
              </w:rPr>
            </w:pPr>
          </w:p>
        </w:tc>
        <w:tc>
          <w:tcPr>
            <w:tcW w:w="8540" w:type="dxa"/>
            <w:vAlign w:val="bottom"/>
          </w:tcPr>
          <w:p>
            <w:pPr>
              <w:ind w:left="1640"/>
              <w:spacing w:after="0" w:line="234" w:lineRule="exact"/>
              <w:rPr>
                <w:sz w:val="20"/>
                <w:szCs w:val="20"/>
                <w:color w:val="auto"/>
              </w:rPr>
            </w:pPr>
            <w:r>
              <w:rPr>
                <w:rFonts w:ascii="Calibri" w:cs="Calibri" w:eastAsia="Calibri" w:hAnsi="Calibri"/>
                <w:sz w:val="20"/>
                <w:szCs w:val="20"/>
                <w:color w:val="auto"/>
              </w:rPr>
              <w:t>placing, administraton and risk management process;</w:t>
            </w:r>
          </w:p>
        </w:tc>
      </w:tr>
      <w:tr>
        <w:trPr>
          <w:trHeight w:val="265"/>
        </w:trPr>
        <w:tc>
          <w:tcPr>
            <w:tcW w:w="2700" w:type="dxa"/>
            <w:vAlign w:val="bottom"/>
          </w:tcPr>
          <w:p>
            <w:pPr>
              <w:spacing w:after="0"/>
              <w:rPr>
                <w:sz w:val="23"/>
                <w:szCs w:val="23"/>
                <w:color w:val="auto"/>
              </w:rPr>
            </w:pPr>
          </w:p>
        </w:tc>
        <w:tc>
          <w:tcPr>
            <w:tcW w:w="8540" w:type="dxa"/>
            <w:vAlign w:val="bottom"/>
          </w:tcPr>
          <w:p>
            <w:pPr>
              <w:ind w:left="1400"/>
              <w:spacing w:after="0"/>
              <w:rPr>
                <w:sz w:val="20"/>
                <w:szCs w:val="20"/>
                <w:color w:val="auto"/>
              </w:rPr>
            </w:pPr>
            <w:r>
              <w:rPr>
                <w:rFonts w:ascii="Times New Roman" w:cs="Times New Roman" w:eastAsia="Times New Roman" w:hAnsi="Times New Roman"/>
                <w:sz w:val="20"/>
                <w:szCs w:val="20"/>
                <w:color w:val="auto"/>
              </w:rPr>
              <w:t xml:space="preserve">ii. </w:t>
            </w:r>
            <w:r>
              <w:rPr>
                <w:rFonts w:ascii="Calibri" w:cs="Calibri" w:eastAsia="Calibri" w:hAnsi="Calibri"/>
                <w:sz w:val="20"/>
                <w:szCs w:val="20"/>
                <w:color w:val="auto"/>
              </w:rPr>
              <w:t>meetng with the Company’s counsel to answer questons regarding any claims</w:t>
            </w:r>
          </w:p>
        </w:tc>
      </w:tr>
      <w:tr>
        <w:trPr>
          <w:trHeight w:val="234"/>
        </w:trPr>
        <w:tc>
          <w:tcPr>
            <w:tcW w:w="2700" w:type="dxa"/>
            <w:vAlign w:val="bottom"/>
          </w:tcPr>
          <w:p>
            <w:pPr>
              <w:spacing w:after="0"/>
              <w:rPr>
                <w:sz w:val="20"/>
                <w:szCs w:val="20"/>
                <w:color w:val="auto"/>
              </w:rPr>
            </w:pPr>
          </w:p>
        </w:tc>
        <w:tc>
          <w:tcPr>
            <w:tcW w:w="8540" w:type="dxa"/>
            <w:vAlign w:val="bottom"/>
          </w:tcPr>
          <w:p>
            <w:pPr>
              <w:ind w:left="1640"/>
              <w:spacing w:after="0" w:line="234" w:lineRule="exact"/>
              <w:rPr>
                <w:sz w:val="20"/>
                <w:szCs w:val="20"/>
                <w:color w:val="auto"/>
              </w:rPr>
            </w:pPr>
            <w:r>
              <w:rPr>
                <w:rFonts w:ascii="Calibri" w:cs="Calibri" w:eastAsia="Calibri" w:hAnsi="Calibri"/>
                <w:sz w:val="20"/>
                <w:szCs w:val="20"/>
                <w:color w:val="auto"/>
              </w:rPr>
              <w:t>brought by or against the Company; and</w:t>
            </w:r>
          </w:p>
        </w:tc>
      </w:tr>
      <w:tr>
        <w:trPr>
          <w:trHeight w:val="265"/>
        </w:trPr>
        <w:tc>
          <w:tcPr>
            <w:tcW w:w="2700" w:type="dxa"/>
            <w:vAlign w:val="bottom"/>
          </w:tcPr>
          <w:p>
            <w:pPr>
              <w:spacing w:after="0"/>
              <w:rPr>
                <w:sz w:val="23"/>
                <w:szCs w:val="23"/>
                <w:color w:val="auto"/>
              </w:rPr>
            </w:pPr>
          </w:p>
        </w:tc>
        <w:tc>
          <w:tcPr>
            <w:tcW w:w="8540" w:type="dxa"/>
            <w:vAlign w:val="bottom"/>
          </w:tcPr>
          <w:p>
            <w:pPr>
              <w:ind w:left="1400"/>
              <w:spacing w:after="0"/>
              <w:rPr>
                <w:sz w:val="20"/>
                <w:szCs w:val="20"/>
                <w:color w:val="auto"/>
              </w:rPr>
            </w:pPr>
            <w:r>
              <w:rPr>
                <w:rFonts w:ascii="Times New Roman" w:cs="Times New Roman" w:eastAsia="Times New Roman" w:hAnsi="Times New Roman"/>
                <w:sz w:val="20"/>
                <w:szCs w:val="20"/>
                <w:color w:val="auto"/>
              </w:rPr>
              <w:t xml:space="preserve">iii. </w:t>
            </w:r>
            <w:r>
              <w:rPr>
                <w:rFonts w:ascii="Calibri" w:cs="Calibri" w:eastAsia="Calibri" w:hAnsi="Calibri"/>
                <w:sz w:val="20"/>
                <w:szCs w:val="20"/>
                <w:color w:val="auto"/>
              </w:rPr>
              <w:t>providing statements of evidence, afdavits and meetng in person with the</w:t>
            </w:r>
          </w:p>
        </w:tc>
      </w:tr>
      <w:tr>
        <w:trPr>
          <w:trHeight w:val="234"/>
        </w:trPr>
        <w:tc>
          <w:tcPr>
            <w:tcW w:w="2700" w:type="dxa"/>
            <w:vAlign w:val="bottom"/>
          </w:tcPr>
          <w:p>
            <w:pPr>
              <w:spacing w:after="0"/>
              <w:rPr>
                <w:sz w:val="20"/>
                <w:szCs w:val="20"/>
                <w:color w:val="auto"/>
              </w:rPr>
            </w:pPr>
          </w:p>
        </w:tc>
        <w:tc>
          <w:tcPr>
            <w:tcW w:w="8540" w:type="dxa"/>
            <w:vAlign w:val="bottom"/>
          </w:tcPr>
          <w:p>
            <w:pPr>
              <w:ind w:left="1640"/>
              <w:spacing w:after="0" w:line="234" w:lineRule="exact"/>
              <w:rPr>
                <w:sz w:val="20"/>
                <w:szCs w:val="20"/>
                <w:color w:val="auto"/>
              </w:rPr>
            </w:pPr>
            <w:r>
              <w:rPr>
                <w:rFonts w:ascii="Calibri" w:cs="Calibri" w:eastAsia="Calibri" w:hAnsi="Calibri"/>
                <w:sz w:val="20"/>
                <w:szCs w:val="20"/>
                <w:color w:val="auto"/>
              </w:rPr>
              <w:t>Company’s counsel in order to be prepared for any evidence that you may be</w:t>
            </w:r>
          </w:p>
        </w:tc>
      </w:tr>
      <w:tr>
        <w:trPr>
          <w:trHeight w:val="243"/>
        </w:trPr>
        <w:tc>
          <w:tcPr>
            <w:tcW w:w="2700" w:type="dxa"/>
            <w:vAlign w:val="bottom"/>
          </w:tcPr>
          <w:p>
            <w:pPr>
              <w:spacing w:after="0"/>
              <w:rPr>
                <w:sz w:val="21"/>
                <w:szCs w:val="21"/>
                <w:color w:val="auto"/>
              </w:rPr>
            </w:pPr>
          </w:p>
        </w:tc>
        <w:tc>
          <w:tcPr>
            <w:tcW w:w="8540" w:type="dxa"/>
            <w:vAlign w:val="bottom"/>
          </w:tcPr>
          <w:p>
            <w:pPr>
              <w:ind w:left="1640"/>
              <w:spacing w:after="0" w:line="243" w:lineRule="exact"/>
              <w:rPr>
                <w:sz w:val="20"/>
                <w:szCs w:val="20"/>
                <w:color w:val="auto"/>
              </w:rPr>
            </w:pPr>
            <w:r>
              <w:rPr>
                <w:rFonts w:ascii="Calibri" w:cs="Calibri" w:eastAsia="Calibri" w:hAnsi="Calibri"/>
                <w:sz w:val="20"/>
                <w:szCs w:val="20"/>
                <w:color w:val="auto"/>
              </w:rPr>
              <w:t>required to provide;</w:t>
            </w:r>
          </w:p>
        </w:tc>
      </w:tr>
      <w:tr>
        <w:trPr>
          <w:trHeight w:val="507"/>
        </w:trPr>
        <w:tc>
          <w:tcPr>
            <w:tcW w:w="2700" w:type="dxa"/>
            <w:vAlign w:val="bottom"/>
          </w:tcPr>
          <w:p>
            <w:pPr>
              <w:spacing w:after="0"/>
              <w:rPr>
                <w:sz w:val="24"/>
                <w:szCs w:val="24"/>
                <w:color w:val="auto"/>
              </w:rPr>
            </w:pPr>
          </w:p>
        </w:tc>
        <w:tc>
          <w:tcPr>
            <w:tcW w:w="8540" w:type="dxa"/>
            <w:vAlign w:val="bottom"/>
          </w:tcPr>
          <w:p>
            <w:pPr>
              <w:ind w:left="1080"/>
              <w:spacing w:after="0"/>
              <w:rPr>
                <w:sz w:val="20"/>
                <w:szCs w:val="20"/>
                <w:color w:val="auto"/>
              </w:rPr>
            </w:pPr>
            <w:r>
              <w:rPr>
                <w:rFonts w:ascii="Times New Roman" w:cs="Times New Roman" w:eastAsia="Times New Roman" w:hAnsi="Times New Roman"/>
                <w:sz w:val="20"/>
                <w:szCs w:val="20"/>
                <w:color w:val="auto"/>
              </w:rPr>
              <w:t xml:space="preserve">b) </w:t>
            </w:r>
            <w:r>
              <w:rPr>
                <w:rFonts w:ascii="Calibri" w:cs="Calibri" w:eastAsia="Calibri" w:hAnsi="Calibri"/>
                <w:sz w:val="20"/>
                <w:szCs w:val="20"/>
                <w:color w:val="auto"/>
              </w:rPr>
              <w:t>in respect of actual and potental errors and omissions, partcipate in depositon,</w:t>
            </w:r>
          </w:p>
        </w:tc>
      </w:tr>
      <w:tr>
        <w:trPr>
          <w:trHeight w:val="234"/>
        </w:trPr>
        <w:tc>
          <w:tcPr>
            <w:tcW w:w="2700" w:type="dxa"/>
            <w:vAlign w:val="bottom"/>
          </w:tcPr>
          <w:p>
            <w:pPr>
              <w:spacing w:after="0"/>
              <w:rPr>
                <w:sz w:val="20"/>
                <w:szCs w:val="20"/>
                <w:color w:val="auto"/>
              </w:rPr>
            </w:pPr>
          </w:p>
        </w:tc>
        <w:tc>
          <w:tcPr>
            <w:tcW w:w="8540" w:type="dxa"/>
            <w:vAlign w:val="bottom"/>
          </w:tcPr>
          <w:p>
            <w:pPr>
              <w:ind w:left="1340"/>
              <w:spacing w:after="0" w:line="234" w:lineRule="exact"/>
              <w:rPr>
                <w:sz w:val="20"/>
                <w:szCs w:val="20"/>
                <w:color w:val="auto"/>
              </w:rPr>
            </w:pPr>
            <w:r>
              <w:rPr>
                <w:rFonts w:ascii="Calibri" w:cs="Calibri" w:eastAsia="Calibri" w:hAnsi="Calibri"/>
                <w:sz w:val="20"/>
                <w:szCs w:val="20"/>
                <w:color w:val="auto"/>
              </w:rPr>
              <w:t>arbitraton and/or hearing preparaton meetngs with the Company’s counsel as</w:t>
            </w:r>
          </w:p>
        </w:tc>
      </w:tr>
      <w:tr>
        <w:trPr>
          <w:trHeight w:val="243"/>
        </w:trPr>
        <w:tc>
          <w:tcPr>
            <w:tcW w:w="2700" w:type="dxa"/>
            <w:vAlign w:val="bottom"/>
          </w:tcPr>
          <w:p>
            <w:pPr>
              <w:spacing w:after="0"/>
              <w:rPr>
                <w:sz w:val="21"/>
                <w:szCs w:val="21"/>
                <w:color w:val="auto"/>
              </w:rPr>
            </w:pPr>
          </w:p>
        </w:tc>
        <w:tc>
          <w:tcPr>
            <w:tcW w:w="8540" w:type="dxa"/>
            <w:vAlign w:val="bottom"/>
          </w:tcPr>
          <w:p>
            <w:pPr>
              <w:ind w:left="1340"/>
              <w:spacing w:after="0" w:line="243" w:lineRule="exact"/>
              <w:rPr>
                <w:sz w:val="20"/>
                <w:szCs w:val="20"/>
                <w:color w:val="auto"/>
              </w:rPr>
            </w:pPr>
            <w:r>
              <w:rPr>
                <w:rFonts w:ascii="Calibri" w:cs="Calibri" w:eastAsia="Calibri" w:hAnsi="Calibri"/>
                <w:sz w:val="20"/>
                <w:szCs w:val="20"/>
                <w:color w:val="auto"/>
              </w:rPr>
              <w:t>required and to provide testmony and to allow Company’s counsel to act as your</w:t>
            </w:r>
          </w:p>
        </w:tc>
      </w:tr>
      <w:tr>
        <w:trPr>
          <w:trHeight w:val="243"/>
        </w:trPr>
        <w:tc>
          <w:tcPr>
            <w:tcW w:w="2700" w:type="dxa"/>
            <w:vAlign w:val="bottom"/>
          </w:tcPr>
          <w:p>
            <w:pPr>
              <w:spacing w:after="0"/>
              <w:rPr>
                <w:sz w:val="21"/>
                <w:szCs w:val="21"/>
                <w:color w:val="auto"/>
              </w:rPr>
            </w:pPr>
          </w:p>
        </w:tc>
        <w:tc>
          <w:tcPr>
            <w:tcW w:w="8540" w:type="dxa"/>
            <w:vAlign w:val="bottom"/>
          </w:tcPr>
          <w:p>
            <w:pPr>
              <w:ind w:left="1340"/>
              <w:spacing w:after="0" w:line="243" w:lineRule="exact"/>
              <w:rPr>
                <w:sz w:val="20"/>
                <w:szCs w:val="20"/>
                <w:color w:val="auto"/>
              </w:rPr>
            </w:pPr>
            <w:r>
              <w:rPr>
                <w:rFonts w:ascii="Calibri" w:cs="Calibri" w:eastAsia="Calibri" w:hAnsi="Calibri"/>
                <w:sz w:val="20"/>
                <w:szCs w:val="20"/>
                <w:color w:val="auto"/>
              </w:rPr>
              <w:t>counsel during the aforementoned preparaton meetng and any hearings (payment</w:t>
            </w:r>
          </w:p>
        </w:tc>
      </w:tr>
      <w:tr>
        <w:trPr>
          <w:trHeight w:val="243"/>
        </w:trPr>
        <w:tc>
          <w:tcPr>
            <w:tcW w:w="2700" w:type="dxa"/>
            <w:vAlign w:val="bottom"/>
          </w:tcPr>
          <w:p>
            <w:pPr>
              <w:spacing w:after="0"/>
              <w:rPr>
                <w:sz w:val="21"/>
                <w:szCs w:val="21"/>
                <w:color w:val="auto"/>
              </w:rPr>
            </w:pPr>
          </w:p>
        </w:tc>
        <w:tc>
          <w:tcPr>
            <w:tcW w:w="8540" w:type="dxa"/>
            <w:vAlign w:val="bottom"/>
          </w:tcPr>
          <w:p>
            <w:pPr>
              <w:ind w:left="1340"/>
              <w:spacing w:after="0" w:line="243" w:lineRule="exact"/>
              <w:rPr>
                <w:sz w:val="20"/>
                <w:szCs w:val="20"/>
                <w:color w:val="auto"/>
              </w:rPr>
            </w:pPr>
            <w:r>
              <w:rPr>
                <w:rFonts w:ascii="Calibri" w:cs="Calibri" w:eastAsia="Calibri" w:hAnsi="Calibri"/>
                <w:sz w:val="20"/>
                <w:szCs w:val="20"/>
                <w:color w:val="auto"/>
              </w:rPr>
              <w:t>of counsels fees to be made by the Company); and additonally, to the extent</w:t>
            </w:r>
          </w:p>
        </w:tc>
      </w:tr>
      <w:tr>
        <w:trPr>
          <w:trHeight w:val="243"/>
        </w:trPr>
        <w:tc>
          <w:tcPr>
            <w:tcW w:w="2700" w:type="dxa"/>
            <w:vAlign w:val="bottom"/>
          </w:tcPr>
          <w:p>
            <w:pPr>
              <w:spacing w:after="0"/>
              <w:rPr>
                <w:sz w:val="21"/>
                <w:szCs w:val="21"/>
                <w:color w:val="auto"/>
              </w:rPr>
            </w:pPr>
          </w:p>
        </w:tc>
        <w:tc>
          <w:tcPr>
            <w:tcW w:w="8540" w:type="dxa"/>
            <w:vAlign w:val="bottom"/>
          </w:tcPr>
          <w:p>
            <w:pPr>
              <w:ind w:left="1340"/>
              <w:spacing w:after="0" w:line="243" w:lineRule="exact"/>
              <w:rPr>
                <w:sz w:val="20"/>
                <w:szCs w:val="20"/>
                <w:color w:val="auto"/>
              </w:rPr>
            </w:pPr>
            <w:r>
              <w:rPr>
                <w:rFonts w:ascii="Calibri" w:cs="Calibri" w:eastAsia="Calibri" w:hAnsi="Calibri"/>
                <w:sz w:val="20"/>
                <w:szCs w:val="20"/>
                <w:color w:val="auto"/>
              </w:rPr>
              <w:t>necessary, you will make available other informaton, statements of evidence and</w:t>
            </w:r>
          </w:p>
        </w:tc>
      </w:tr>
      <w:tr>
        <w:trPr>
          <w:trHeight w:val="243"/>
        </w:trPr>
        <w:tc>
          <w:tcPr>
            <w:tcW w:w="2700" w:type="dxa"/>
            <w:vAlign w:val="bottom"/>
          </w:tcPr>
          <w:p>
            <w:pPr>
              <w:spacing w:after="0"/>
              <w:rPr>
                <w:sz w:val="21"/>
                <w:szCs w:val="21"/>
                <w:color w:val="auto"/>
              </w:rPr>
            </w:pPr>
          </w:p>
        </w:tc>
        <w:tc>
          <w:tcPr>
            <w:tcW w:w="8540" w:type="dxa"/>
            <w:vAlign w:val="bottom"/>
          </w:tcPr>
          <w:p>
            <w:pPr>
              <w:ind w:left="1340"/>
              <w:spacing w:after="0" w:line="243" w:lineRule="exact"/>
              <w:rPr>
                <w:sz w:val="20"/>
                <w:szCs w:val="20"/>
                <w:color w:val="auto"/>
              </w:rPr>
            </w:pPr>
            <w:r>
              <w:rPr>
                <w:rFonts w:ascii="Calibri" w:cs="Calibri" w:eastAsia="Calibri" w:hAnsi="Calibri"/>
                <w:sz w:val="20"/>
                <w:szCs w:val="20"/>
                <w:color w:val="auto"/>
              </w:rPr>
              <w:t>afdavits to the Company’s counsel as needed provided however:</w:t>
            </w:r>
          </w:p>
        </w:tc>
      </w:tr>
      <w:tr>
        <w:trPr>
          <w:trHeight w:val="507"/>
        </w:trPr>
        <w:tc>
          <w:tcPr>
            <w:tcW w:w="2700" w:type="dxa"/>
            <w:vAlign w:val="bottom"/>
          </w:tcPr>
          <w:p>
            <w:pPr>
              <w:spacing w:after="0"/>
              <w:rPr>
                <w:sz w:val="24"/>
                <w:szCs w:val="24"/>
                <w:color w:val="auto"/>
              </w:rPr>
            </w:pPr>
          </w:p>
        </w:tc>
        <w:tc>
          <w:tcPr>
            <w:tcW w:w="8540" w:type="dxa"/>
            <w:vAlign w:val="bottom"/>
          </w:tcPr>
          <w:p>
            <w:pPr>
              <w:ind w:left="1400"/>
              <w:spacing w:after="0"/>
              <w:rPr>
                <w:sz w:val="20"/>
                <w:szCs w:val="20"/>
                <w:color w:val="auto"/>
              </w:rPr>
            </w:pPr>
            <w:r>
              <w:rPr>
                <w:rFonts w:ascii="Times New Roman" w:cs="Times New Roman" w:eastAsia="Times New Roman" w:hAnsi="Times New Roman"/>
                <w:sz w:val="20"/>
                <w:szCs w:val="20"/>
                <w:color w:val="auto"/>
              </w:rPr>
              <w:t xml:space="preserve">i.  </w:t>
            </w:r>
            <w:r>
              <w:rPr>
                <w:rFonts w:ascii="Calibri" w:cs="Calibri" w:eastAsia="Calibri" w:hAnsi="Calibri"/>
                <w:sz w:val="20"/>
                <w:szCs w:val="20"/>
                <w:color w:val="auto"/>
              </w:rPr>
              <w:t>the company agrees to provide as much advance notce as possible to you</w:t>
            </w:r>
          </w:p>
        </w:tc>
      </w:tr>
      <w:tr>
        <w:trPr>
          <w:trHeight w:val="234"/>
        </w:trPr>
        <w:tc>
          <w:tcPr>
            <w:tcW w:w="2700" w:type="dxa"/>
            <w:vAlign w:val="bottom"/>
          </w:tcPr>
          <w:p>
            <w:pPr>
              <w:spacing w:after="0"/>
              <w:rPr>
                <w:sz w:val="20"/>
                <w:szCs w:val="20"/>
                <w:color w:val="auto"/>
              </w:rPr>
            </w:pPr>
          </w:p>
        </w:tc>
        <w:tc>
          <w:tcPr>
            <w:tcW w:w="8540" w:type="dxa"/>
            <w:vAlign w:val="bottom"/>
          </w:tcPr>
          <w:p>
            <w:pPr>
              <w:ind w:left="1640"/>
              <w:spacing w:after="0" w:line="234" w:lineRule="exact"/>
              <w:rPr>
                <w:sz w:val="20"/>
                <w:szCs w:val="20"/>
                <w:color w:val="auto"/>
              </w:rPr>
            </w:pPr>
            <w:r>
              <w:rPr>
                <w:rFonts w:ascii="Calibri" w:cs="Calibri" w:eastAsia="Calibri" w:hAnsi="Calibri"/>
                <w:sz w:val="20"/>
                <w:szCs w:val="20"/>
                <w:color w:val="auto"/>
              </w:rPr>
              <w:t>regarding such assistance; plus</w:t>
            </w:r>
          </w:p>
        </w:tc>
      </w:tr>
      <w:tr>
        <w:trPr>
          <w:trHeight w:val="265"/>
        </w:trPr>
        <w:tc>
          <w:tcPr>
            <w:tcW w:w="2700" w:type="dxa"/>
            <w:vAlign w:val="bottom"/>
          </w:tcPr>
          <w:p>
            <w:pPr>
              <w:spacing w:after="0"/>
              <w:rPr>
                <w:sz w:val="23"/>
                <w:szCs w:val="23"/>
                <w:color w:val="auto"/>
              </w:rPr>
            </w:pPr>
          </w:p>
        </w:tc>
        <w:tc>
          <w:tcPr>
            <w:tcW w:w="8540" w:type="dxa"/>
            <w:vAlign w:val="bottom"/>
          </w:tcPr>
          <w:p>
            <w:pPr>
              <w:ind w:left="1400"/>
              <w:spacing w:after="0"/>
              <w:rPr>
                <w:sz w:val="20"/>
                <w:szCs w:val="20"/>
                <w:color w:val="auto"/>
              </w:rPr>
            </w:pPr>
            <w:r>
              <w:rPr>
                <w:rFonts w:ascii="Times New Roman" w:cs="Times New Roman" w:eastAsia="Times New Roman" w:hAnsi="Times New Roman"/>
                <w:sz w:val="20"/>
                <w:szCs w:val="20"/>
                <w:color w:val="auto"/>
              </w:rPr>
              <w:t xml:space="preserve">ii. </w:t>
            </w:r>
            <w:r>
              <w:rPr>
                <w:rFonts w:ascii="Calibri" w:cs="Calibri" w:eastAsia="Calibri" w:hAnsi="Calibri"/>
                <w:sz w:val="20"/>
                <w:szCs w:val="20"/>
                <w:color w:val="auto"/>
              </w:rPr>
              <w:t>if the claim does not setle or otherwise resolve, and if requested by the Company</w:t>
            </w:r>
          </w:p>
        </w:tc>
      </w:tr>
      <w:tr>
        <w:trPr>
          <w:trHeight w:val="234"/>
        </w:trPr>
        <w:tc>
          <w:tcPr>
            <w:tcW w:w="2700" w:type="dxa"/>
            <w:vAlign w:val="bottom"/>
          </w:tcPr>
          <w:p>
            <w:pPr>
              <w:spacing w:after="0"/>
              <w:rPr>
                <w:sz w:val="20"/>
                <w:szCs w:val="20"/>
                <w:color w:val="auto"/>
              </w:rPr>
            </w:pPr>
          </w:p>
        </w:tc>
        <w:tc>
          <w:tcPr>
            <w:tcW w:w="8540" w:type="dxa"/>
            <w:vAlign w:val="bottom"/>
          </w:tcPr>
          <w:p>
            <w:pPr>
              <w:ind w:left="1640"/>
              <w:spacing w:after="0" w:line="234" w:lineRule="exact"/>
              <w:rPr>
                <w:sz w:val="20"/>
                <w:szCs w:val="20"/>
                <w:color w:val="auto"/>
              </w:rPr>
            </w:pPr>
            <w:r>
              <w:rPr>
                <w:rFonts w:ascii="Calibri" w:cs="Calibri" w:eastAsia="Calibri" w:hAnsi="Calibri"/>
                <w:sz w:val="20"/>
                <w:szCs w:val="20"/>
                <w:color w:val="auto"/>
              </w:rPr>
              <w:t>by giving you no less than three weeks’ notce of trial, you will give trial and/or</w:t>
            </w:r>
          </w:p>
        </w:tc>
      </w:tr>
      <w:tr>
        <w:trPr>
          <w:trHeight w:val="243"/>
        </w:trPr>
        <w:tc>
          <w:tcPr>
            <w:tcW w:w="2700" w:type="dxa"/>
            <w:vAlign w:val="bottom"/>
          </w:tcPr>
          <w:p>
            <w:pPr>
              <w:spacing w:after="0"/>
              <w:rPr>
                <w:sz w:val="21"/>
                <w:szCs w:val="21"/>
                <w:color w:val="auto"/>
              </w:rPr>
            </w:pPr>
          </w:p>
        </w:tc>
        <w:tc>
          <w:tcPr>
            <w:tcW w:w="8540" w:type="dxa"/>
            <w:vAlign w:val="bottom"/>
          </w:tcPr>
          <w:p>
            <w:pPr>
              <w:ind w:left="1640"/>
              <w:spacing w:after="0" w:line="243" w:lineRule="exact"/>
              <w:rPr>
                <w:sz w:val="20"/>
                <w:szCs w:val="20"/>
                <w:color w:val="auto"/>
              </w:rPr>
            </w:pPr>
            <w:r>
              <w:rPr>
                <w:rFonts w:ascii="Calibri" w:cs="Calibri" w:eastAsia="Calibri" w:hAnsi="Calibri"/>
                <w:sz w:val="20"/>
                <w:szCs w:val="20"/>
                <w:color w:val="auto"/>
              </w:rPr>
              <w:t>arbitraton testmony, and you will meet with Company’s counsel for preparaton</w:t>
            </w:r>
          </w:p>
        </w:tc>
      </w:tr>
      <w:tr>
        <w:trPr>
          <w:trHeight w:val="243"/>
        </w:trPr>
        <w:tc>
          <w:tcPr>
            <w:tcW w:w="2700" w:type="dxa"/>
            <w:vAlign w:val="bottom"/>
          </w:tcPr>
          <w:p>
            <w:pPr>
              <w:spacing w:after="0"/>
              <w:rPr>
                <w:sz w:val="21"/>
                <w:szCs w:val="21"/>
                <w:color w:val="auto"/>
              </w:rPr>
            </w:pPr>
          </w:p>
        </w:tc>
        <w:tc>
          <w:tcPr>
            <w:tcW w:w="8540" w:type="dxa"/>
            <w:vAlign w:val="bottom"/>
          </w:tcPr>
          <w:p>
            <w:pPr>
              <w:ind w:left="1640"/>
              <w:spacing w:after="0" w:line="243" w:lineRule="exact"/>
              <w:rPr>
                <w:sz w:val="20"/>
                <w:szCs w:val="20"/>
                <w:color w:val="auto"/>
              </w:rPr>
            </w:pPr>
            <w:r>
              <w:rPr>
                <w:rFonts w:ascii="Calibri" w:cs="Calibri" w:eastAsia="Calibri" w:hAnsi="Calibri"/>
                <w:sz w:val="20"/>
                <w:szCs w:val="20"/>
                <w:color w:val="auto"/>
              </w:rPr>
              <w:t>for such testmony.</w:t>
            </w:r>
          </w:p>
        </w:tc>
      </w:tr>
      <w:tr>
        <w:trPr>
          <w:trHeight w:val="485"/>
        </w:trPr>
        <w:tc>
          <w:tcPr>
            <w:tcW w:w="2700" w:type="dxa"/>
            <w:vAlign w:val="bottom"/>
          </w:tcPr>
          <w:p>
            <w:pPr>
              <w:spacing w:after="0"/>
              <w:rPr>
                <w:sz w:val="24"/>
                <w:szCs w:val="24"/>
                <w:color w:val="auto"/>
              </w:rPr>
            </w:pPr>
          </w:p>
        </w:tc>
        <w:tc>
          <w:tcPr>
            <w:tcW w:w="8540" w:type="dxa"/>
            <w:vAlign w:val="bottom"/>
          </w:tcPr>
          <w:p>
            <w:pPr>
              <w:ind w:left="760"/>
              <w:spacing w:after="0"/>
              <w:rPr>
                <w:sz w:val="20"/>
                <w:szCs w:val="20"/>
                <w:color w:val="auto"/>
              </w:rPr>
            </w:pPr>
            <w:r>
              <w:rPr>
                <w:rFonts w:ascii="Calibri" w:cs="Calibri" w:eastAsia="Calibri" w:hAnsi="Calibri"/>
                <w:sz w:val="20"/>
                <w:szCs w:val="20"/>
                <w:color w:val="auto"/>
              </w:rPr>
              <w:t>The Company will pay the reasonable costs incurred by you in partcipatng in any depositon</w:t>
            </w:r>
          </w:p>
        </w:tc>
      </w:tr>
      <w:tr>
        <w:trPr>
          <w:trHeight w:val="243"/>
        </w:trPr>
        <w:tc>
          <w:tcPr>
            <w:tcW w:w="2700" w:type="dxa"/>
            <w:vAlign w:val="bottom"/>
          </w:tcPr>
          <w:p>
            <w:pPr>
              <w:spacing w:after="0"/>
              <w:rPr>
                <w:sz w:val="21"/>
                <w:szCs w:val="21"/>
                <w:color w:val="auto"/>
              </w:rPr>
            </w:pPr>
          </w:p>
        </w:tc>
        <w:tc>
          <w:tcPr>
            <w:tcW w:w="8540" w:type="dxa"/>
            <w:vAlign w:val="bottom"/>
          </w:tcPr>
          <w:p>
            <w:pPr>
              <w:ind w:left="760"/>
              <w:spacing w:after="0" w:line="243" w:lineRule="exact"/>
              <w:rPr>
                <w:sz w:val="20"/>
                <w:szCs w:val="20"/>
                <w:color w:val="auto"/>
              </w:rPr>
            </w:pPr>
            <w:r>
              <w:rPr>
                <w:rFonts w:ascii="Calibri" w:cs="Calibri" w:eastAsia="Calibri" w:hAnsi="Calibri"/>
                <w:sz w:val="20"/>
                <w:szCs w:val="20"/>
                <w:color w:val="auto"/>
              </w:rPr>
              <w:t>and/or hearing preparaton meetngs, providing the depositon and/or hearing testmony in</w:t>
            </w:r>
          </w:p>
        </w:tc>
      </w:tr>
      <w:tr>
        <w:trPr>
          <w:trHeight w:val="243"/>
        </w:trPr>
        <w:tc>
          <w:tcPr>
            <w:tcW w:w="2700" w:type="dxa"/>
            <w:vAlign w:val="bottom"/>
          </w:tcPr>
          <w:p>
            <w:pPr>
              <w:spacing w:after="0"/>
              <w:rPr>
                <w:sz w:val="21"/>
                <w:szCs w:val="21"/>
                <w:color w:val="auto"/>
              </w:rPr>
            </w:pPr>
          </w:p>
        </w:tc>
        <w:tc>
          <w:tcPr>
            <w:tcW w:w="8540" w:type="dxa"/>
            <w:vAlign w:val="bottom"/>
          </w:tcPr>
          <w:p>
            <w:pPr>
              <w:ind w:left="760"/>
              <w:spacing w:after="0" w:line="243" w:lineRule="exact"/>
              <w:rPr>
                <w:sz w:val="20"/>
                <w:szCs w:val="20"/>
                <w:color w:val="auto"/>
              </w:rPr>
            </w:pPr>
            <w:r>
              <w:rPr>
                <w:rFonts w:ascii="Calibri" w:cs="Calibri" w:eastAsia="Calibri" w:hAnsi="Calibri"/>
                <w:sz w:val="20"/>
                <w:szCs w:val="20"/>
                <w:color w:val="auto"/>
              </w:rPr>
              <w:t>the claim, and any trial and/or arbitraton testmony and preparaton are in accordance with</w:t>
            </w:r>
          </w:p>
        </w:tc>
      </w:tr>
      <w:tr>
        <w:trPr>
          <w:trHeight w:val="243"/>
        </w:trPr>
        <w:tc>
          <w:tcPr>
            <w:tcW w:w="2700" w:type="dxa"/>
            <w:vAlign w:val="bottom"/>
          </w:tcPr>
          <w:p>
            <w:pPr>
              <w:spacing w:after="0"/>
              <w:rPr>
                <w:sz w:val="21"/>
                <w:szCs w:val="21"/>
                <w:color w:val="auto"/>
              </w:rPr>
            </w:pPr>
          </w:p>
        </w:tc>
        <w:tc>
          <w:tcPr>
            <w:tcW w:w="8540" w:type="dxa"/>
            <w:vAlign w:val="bottom"/>
          </w:tcPr>
          <w:p>
            <w:pPr>
              <w:ind w:left="760"/>
              <w:spacing w:after="0" w:line="243" w:lineRule="exact"/>
              <w:rPr>
                <w:sz w:val="20"/>
                <w:szCs w:val="20"/>
                <w:color w:val="auto"/>
              </w:rPr>
            </w:pPr>
            <w:r>
              <w:rPr>
                <w:rFonts w:ascii="Calibri" w:cs="Calibri" w:eastAsia="Calibri" w:hAnsi="Calibri"/>
                <w:sz w:val="20"/>
                <w:szCs w:val="20"/>
                <w:color w:val="auto"/>
              </w:rPr>
              <w:t>the Company’s expense management policy in place from tme to tme.</w:t>
            </w:r>
          </w:p>
        </w:tc>
      </w:tr>
      <w:tr>
        <w:trPr>
          <w:trHeight w:val="512"/>
        </w:trPr>
        <w:tc>
          <w:tcPr>
            <w:tcW w:w="2700" w:type="dxa"/>
            <w:vAlign w:val="bottom"/>
          </w:tcPr>
          <w:p>
            <w:pPr>
              <w:ind w:left="100"/>
              <w:spacing w:after="0"/>
              <w:rPr>
                <w:sz w:val="20"/>
                <w:szCs w:val="20"/>
                <w:color w:val="auto"/>
              </w:rPr>
            </w:pPr>
            <w:r>
              <w:rPr>
                <w:rFonts w:ascii="Calibri" w:cs="Calibri" w:eastAsia="Calibri" w:hAnsi="Calibri"/>
                <w:sz w:val="20"/>
                <w:szCs w:val="20"/>
                <w:b w:val="1"/>
                <w:bCs w:val="1"/>
                <w:color w:val="auto"/>
              </w:rPr>
              <w:t>Duty of Confdence:</w:t>
            </w:r>
          </w:p>
        </w:tc>
        <w:tc>
          <w:tcPr>
            <w:tcW w:w="8540" w:type="dxa"/>
            <w:vAlign w:val="bottom"/>
          </w:tcPr>
          <w:p>
            <w:pPr>
              <w:ind w:left="760"/>
              <w:spacing w:after="0"/>
              <w:rPr>
                <w:sz w:val="20"/>
                <w:szCs w:val="20"/>
                <w:color w:val="auto"/>
              </w:rPr>
            </w:pPr>
            <w:r>
              <w:rPr>
                <w:rFonts w:ascii="Calibri" w:cs="Calibri" w:eastAsia="Calibri" w:hAnsi="Calibri"/>
                <w:sz w:val="20"/>
                <w:szCs w:val="20"/>
                <w:color w:val="auto"/>
              </w:rPr>
              <w:t>During and afer the terminaton of this Contract you must keep with inviolable secrecy and</w:t>
            </w:r>
          </w:p>
        </w:tc>
      </w:tr>
      <w:tr>
        <w:trPr>
          <w:trHeight w:val="243"/>
        </w:trPr>
        <w:tc>
          <w:tcPr>
            <w:tcW w:w="2700" w:type="dxa"/>
            <w:vAlign w:val="bottom"/>
          </w:tcPr>
          <w:p>
            <w:pPr>
              <w:spacing w:after="0"/>
              <w:rPr>
                <w:sz w:val="21"/>
                <w:szCs w:val="21"/>
                <w:color w:val="auto"/>
              </w:rPr>
            </w:pPr>
          </w:p>
        </w:tc>
        <w:tc>
          <w:tcPr>
            <w:tcW w:w="8540" w:type="dxa"/>
            <w:vAlign w:val="bottom"/>
          </w:tcPr>
          <w:p>
            <w:pPr>
              <w:ind w:left="760"/>
              <w:spacing w:after="0" w:line="243" w:lineRule="exact"/>
              <w:rPr>
                <w:sz w:val="20"/>
                <w:szCs w:val="20"/>
                <w:color w:val="auto"/>
              </w:rPr>
            </w:pPr>
            <w:r>
              <w:rPr>
                <w:rFonts w:ascii="Calibri" w:cs="Calibri" w:eastAsia="Calibri" w:hAnsi="Calibri"/>
                <w:sz w:val="20"/>
                <w:szCs w:val="20"/>
                <w:color w:val="auto"/>
              </w:rPr>
              <w:t>may not use for any purpose nor reveal to anyone (other than those whose province it is to</w:t>
            </w:r>
          </w:p>
        </w:tc>
      </w:tr>
      <w:tr>
        <w:trPr>
          <w:trHeight w:val="243"/>
        </w:trPr>
        <w:tc>
          <w:tcPr>
            <w:tcW w:w="2700" w:type="dxa"/>
            <w:vAlign w:val="bottom"/>
          </w:tcPr>
          <w:p>
            <w:pPr>
              <w:spacing w:after="0"/>
              <w:rPr>
                <w:sz w:val="21"/>
                <w:szCs w:val="21"/>
                <w:color w:val="auto"/>
              </w:rPr>
            </w:pPr>
          </w:p>
        </w:tc>
        <w:tc>
          <w:tcPr>
            <w:tcW w:w="8540" w:type="dxa"/>
            <w:vAlign w:val="bottom"/>
          </w:tcPr>
          <w:p>
            <w:pPr>
              <w:ind w:left="760"/>
              <w:spacing w:after="0" w:line="243" w:lineRule="exact"/>
              <w:rPr>
                <w:sz w:val="20"/>
                <w:szCs w:val="20"/>
                <w:color w:val="auto"/>
              </w:rPr>
            </w:pPr>
            <w:r>
              <w:rPr>
                <w:rFonts w:ascii="Calibri" w:cs="Calibri" w:eastAsia="Calibri" w:hAnsi="Calibri"/>
                <w:sz w:val="20"/>
                <w:szCs w:val="20"/>
                <w:color w:val="auto"/>
              </w:rPr>
              <w:t>know the same) any</w:t>
            </w:r>
          </w:p>
        </w:tc>
      </w:tr>
      <w:tr>
        <w:trPr>
          <w:trHeight w:val="256"/>
        </w:trPr>
        <w:tc>
          <w:tcPr>
            <w:tcW w:w="2700" w:type="dxa"/>
            <w:vAlign w:val="bottom"/>
          </w:tcPr>
          <w:p>
            <w:pPr>
              <w:jc w:val="right"/>
              <w:ind w:right="2501"/>
              <w:spacing w:after="0"/>
              <w:rPr>
                <w:sz w:val="20"/>
                <w:szCs w:val="20"/>
                <w:color w:val="auto"/>
              </w:rPr>
            </w:pPr>
            <w:r>
              <w:rPr>
                <w:rFonts w:ascii="Calibri" w:cs="Calibri" w:eastAsia="Calibri" w:hAnsi="Calibri"/>
                <w:sz w:val="20"/>
                <w:szCs w:val="20"/>
                <w:color w:val="auto"/>
                <w:w w:val="78"/>
              </w:rPr>
              <w:t>4</w:t>
            </w:r>
          </w:p>
        </w:tc>
        <w:tc>
          <w:tcPr>
            <w:tcW w:w="8540" w:type="dxa"/>
            <w:vAlign w:val="bottom"/>
          </w:tcPr>
          <w:p>
            <w:pPr>
              <w:spacing w:after="0"/>
              <w:rPr>
                <w:sz w:val="22"/>
                <w:szCs w:val="22"/>
                <w:color w:val="auto"/>
              </w:rPr>
            </w:pPr>
          </w:p>
        </w:tc>
      </w:tr>
      <w:tr>
        <w:trPr>
          <w:trHeight w:val="148"/>
        </w:trPr>
        <w:tc>
          <w:tcPr>
            <w:tcW w:w="2700" w:type="dxa"/>
            <w:vAlign w:val="bottom"/>
            <w:tcBorders>
              <w:bottom w:val="single" w:sz="8" w:color="9A9A9A"/>
            </w:tcBorders>
          </w:tcPr>
          <w:p>
            <w:pPr>
              <w:spacing w:after="0"/>
              <w:rPr>
                <w:sz w:val="12"/>
                <w:szCs w:val="12"/>
                <w:color w:val="auto"/>
              </w:rPr>
            </w:pPr>
          </w:p>
        </w:tc>
        <w:tc>
          <w:tcPr>
            <w:tcW w:w="854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8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31" w:right="339" w:bottom="1440" w:gutter="0" w:footer="0" w:header="0"/>
        </w:sectPr>
      </w:pPr>
    </w:p>
    <w:bookmarkStart w:id="141" w:name="page142"/>
    <w:bookmarkEnd w:id="141"/>
    <w:p>
      <w:pPr>
        <w:ind w:left="3460" w:right="100"/>
        <w:spacing w:after="0" w:line="237" w:lineRule="auto"/>
        <w:rPr>
          <w:sz w:val="20"/>
          <w:szCs w:val="20"/>
          <w:color w:val="auto"/>
        </w:rPr>
      </w:pPr>
      <w:r>
        <w:rPr>
          <w:rFonts w:ascii="Calibri" w:cs="Calibri" w:eastAsia="Calibri" w:hAnsi="Calibri"/>
          <w:sz w:val="20"/>
          <w:szCs w:val="20"/>
          <w:color w:val="auto"/>
        </w:rPr>
        <w:t>secret or confdental informaton entrusted to or discovered by you. This includes but is not limited to informaton concerning the Company’s business, operatons, products markets, trade secrets, technical know-how, product formulatons or techniques, names or lists of employees, Clients or Prospectve Clients and their insurance or commercial afairs or any other maters pertaining to them and revealed to you in the course of your employment which has not come into the public domain. This duty applies without tme limit.</w:t>
      </w:r>
    </w:p>
    <w:p>
      <w:pPr>
        <w:sectPr>
          <w:pgSz w:w="11900" w:h="16838" w:orient="portrait"/>
          <w:cols w:equalWidth="0" w:num="1">
            <w:col w:w="11140"/>
          </w:cols>
          <w:pgMar w:left="320" w:top="371" w:right="439" w:bottom="1440" w:gutter="0" w:footer="0" w:header="0"/>
        </w:sectPr>
      </w:pPr>
    </w:p>
    <w:p>
      <w:pPr>
        <w:spacing w:after="0" w:line="270" w:lineRule="exact"/>
        <w:rPr>
          <w:sz w:val="20"/>
          <w:szCs w:val="20"/>
          <w:color w:val="auto"/>
        </w:rPr>
      </w:pPr>
    </w:p>
    <w:p>
      <w:pPr>
        <w:ind w:left="100"/>
        <w:spacing w:after="0"/>
        <w:rPr>
          <w:sz w:val="20"/>
          <w:szCs w:val="20"/>
          <w:color w:val="auto"/>
        </w:rPr>
      </w:pPr>
      <w:r>
        <w:rPr>
          <w:rFonts w:ascii="Calibri" w:cs="Calibri" w:eastAsia="Calibri" w:hAnsi="Calibri"/>
          <w:sz w:val="20"/>
          <w:szCs w:val="20"/>
          <w:b w:val="1"/>
          <w:bCs w:val="1"/>
          <w:color w:val="auto"/>
        </w:rPr>
        <w:t>Copyright, Inventons and Patents:</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Calibri" w:cs="Calibri" w:eastAsia="Calibri" w:hAnsi="Calibri"/>
          <w:sz w:val="20"/>
          <w:szCs w:val="20"/>
          <w:color w:val="auto"/>
        </w:rPr>
        <w:t>For further guidance, the provisions concerning Confdental Informaton are set out in full in</w:t>
      </w:r>
    </w:p>
    <w:p>
      <w:pPr>
        <w:spacing w:after="0" w:line="238" w:lineRule="auto"/>
        <w:rPr>
          <w:sz w:val="20"/>
          <w:szCs w:val="20"/>
          <w:color w:val="auto"/>
        </w:rPr>
      </w:pPr>
      <w:r>
        <w:rPr>
          <w:rFonts w:ascii="Calibri" w:cs="Calibri" w:eastAsia="Calibri" w:hAnsi="Calibri"/>
          <w:sz w:val="20"/>
          <w:szCs w:val="20"/>
          <w:color w:val="auto"/>
        </w:rPr>
        <w:t>the Global Policy Manual.</w:t>
      </w:r>
    </w:p>
    <w:p>
      <w:pPr>
        <w:spacing w:after="0"/>
        <w:rPr>
          <w:sz w:val="20"/>
          <w:szCs w:val="20"/>
          <w:color w:val="auto"/>
        </w:rPr>
      </w:pPr>
      <w:r>
        <w:rPr>
          <w:rFonts w:ascii="Calibri" w:cs="Calibri" w:eastAsia="Calibri" w:hAnsi="Calibri"/>
          <w:sz w:val="20"/>
          <w:szCs w:val="20"/>
          <w:color w:val="auto"/>
        </w:rPr>
        <w:t>You must promptly disclose to the Company all ideas, concepts, works, methods, discoveries,</w:t>
      </w:r>
    </w:p>
    <w:p>
      <w:pPr>
        <w:spacing w:after="0" w:line="237" w:lineRule="auto"/>
        <w:rPr>
          <w:sz w:val="20"/>
          <w:szCs w:val="20"/>
          <w:color w:val="auto"/>
        </w:rPr>
      </w:pPr>
      <w:r>
        <w:rPr>
          <w:rFonts w:ascii="Calibri" w:cs="Calibri" w:eastAsia="Calibri" w:hAnsi="Calibri"/>
          <w:sz w:val="20"/>
          <w:szCs w:val="20"/>
          <w:color w:val="auto"/>
        </w:rPr>
        <w:t>improvements, inventons or designs which you create or produce either alone or with others</w:t>
      </w:r>
    </w:p>
    <w:p>
      <w:pPr>
        <w:spacing w:after="0"/>
        <w:rPr>
          <w:sz w:val="20"/>
          <w:szCs w:val="20"/>
          <w:color w:val="auto"/>
        </w:rPr>
      </w:pPr>
      <w:r>
        <w:rPr>
          <w:rFonts w:ascii="Calibri" w:cs="Calibri" w:eastAsia="Calibri" w:hAnsi="Calibri"/>
          <w:sz w:val="20"/>
          <w:szCs w:val="20"/>
          <w:color w:val="auto"/>
        </w:rPr>
        <w:t>(except those created or produced wholly outside working hours which are totally</w:t>
      </w:r>
    </w:p>
    <w:p>
      <w:pPr>
        <w:spacing w:after="0" w:line="238" w:lineRule="auto"/>
        <w:rPr>
          <w:sz w:val="20"/>
          <w:szCs w:val="20"/>
          <w:color w:val="auto"/>
        </w:rPr>
      </w:pPr>
      <w:r>
        <w:rPr>
          <w:rFonts w:ascii="Calibri" w:cs="Calibri" w:eastAsia="Calibri" w:hAnsi="Calibri"/>
          <w:sz w:val="20"/>
          <w:szCs w:val="20"/>
          <w:color w:val="auto"/>
        </w:rPr>
        <w:t>unconnected with your employment) (“the Works”). All and any rights of whatever nature in</w:t>
      </w:r>
    </w:p>
    <w:p>
      <w:pPr>
        <w:spacing w:after="0" w:line="238" w:lineRule="auto"/>
        <w:rPr>
          <w:sz w:val="20"/>
          <w:szCs w:val="20"/>
          <w:color w:val="auto"/>
        </w:rPr>
      </w:pPr>
      <w:r>
        <w:rPr>
          <w:rFonts w:ascii="Calibri" w:cs="Calibri" w:eastAsia="Calibri" w:hAnsi="Calibri"/>
          <w:sz w:val="20"/>
          <w:szCs w:val="20"/>
          <w:color w:val="auto"/>
        </w:rPr>
        <w:t>each such Work shall belong absolutely to the Company and you shall hold the same in trust</w:t>
      </w:r>
    </w:p>
    <w:p>
      <w:pPr>
        <w:spacing w:after="0"/>
        <w:rPr>
          <w:sz w:val="20"/>
          <w:szCs w:val="20"/>
          <w:color w:val="auto"/>
        </w:rPr>
      </w:pPr>
      <w:r>
        <w:rPr>
          <w:rFonts w:ascii="Calibri" w:cs="Calibri" w:eastAsia="Calibri" w:hAnsi="Calibri"/>
          <w:sz w:val="20"/>
          <w:szCs w:val="20"/>
          <w:color w:val="auto"/>
        </w:rPr>
        <w:t>for the Company untl such proprietary rights shall be fully and absolutely vested in the</w:t>
      </w:r>
    </w:p>
    <w:p>
      <w:pPr>
        <w:spacing w:after="0" w:line="237" w:lineRule="auto"/>
        <w:rPr>
          <w:sz w:val="20"/>
          <w:szCs w:val="20"/>
          <w:color w:val="auto"/>
        </w:rPr>
      </w:pPr>
      <w:r>
        <w:rPr>
          <w:rFonts w:ascii="Calibri" w:cs="Calibri" w:eastAsia="Calibri" w:hAnsi="Calibri"/>
          <w:sz w:val="20"/>
          <w:szCs w:val="20"/>
          <w:color w:val="auto"/>
        </w:rPr>
        <w:t>Company. The Company shall be enttled to make such modifcatons or adaptatons to or</w:t>
      </w:r>
    </w:p>
    <w:p>
      <w:pPr>
        <w:spacing w:after="0"/>
        <w:rPr>
          <w:sz w:val="20"/>
          <w:szCs w:val="20"/>
          <w:color w:val="auto"/>
        </w:rPr>
      </w:pPr>
      <w:r>
        <w:rPr>
          <w:rFonts w:ascii="Calibri" w:cs="Calibri" w:eastAsia="Calibri" w:hAnsi="Calibri"/>
          <w:sz w:val="20"/>
          <w:szCs w:val="20"/>
          <w:color w:val="auto"/>
        </w:rPr>
        <w:t>from any of the Works as it shall in its absolute discreton determine.</w:t>
      </w:r>
    </w:p>
    <w:p>
      <w:pPr>
        <w:spacing w:after="0" w:line="200" w:lineRule="exact"/>
        <w:rPr>
          <w:sz w:val="20"/>
          <w:szCs w:val="20"/>
          <w:color w:val="auto"/>
        </w:rPr>
      </w:pPr>
    </w:p>
    <w:p>
      <w:pPr>
        <w:sectPr>
          <w:pgSz w:w="11900" w:h="16838" w:orient="portrait"/>
          <w:cols w:equalWidth="0" w:num="2">
            <w:col w:w="2980" w:space="480"/>
            <w:col w:w="7680"/>
          </w:cols>
          <w:pgMar w:left="320" w:top="371" w:right="439" w:bottom="1440" w:gutter="0" w:footer="0" w:header="0"/>
          <w:type w:val="continuous"/>
        </w:sectPr>
      </w:pPr>
    </w:p>
    <w:p>
      <w:pPr>
        <w:spacing w:after="0" w:line="51" w:lineRule="exact"/>
        <w:rPr>
          <w:sz w:val="20"/>
          <w:szCs w:val="20"/>
          <w:color w:val="auto"/>
        </w:rPr>
      </w:pPr>
    </w:p>
    <w:p>
      <w:pPr>
        <w:ind w:left="3460" w:right="80"/>
        <w:spacing w:after="0" w:line="237" w:lineRule="auto"/>
        <w:rPr>
          <w:sz w:val="20"/>
          <w:szCs w:val="20"/>
          <w:color w:val="auto"/>
        </w:rPr>
      </w:pPr>
      <w:r>
        <w:rPr>
          <w:rFonts w:ascii="Calibri" w:cs="Calibri" w:eastAsia="Calibri" w:hAnsi="Calibri"/>
          <w:sz w:val="20"/>
          <w:szCs w:val="20"/>
          <w:color w:val="auto"/>
        </w:rPr>
        <w:t>You hereby assign to the Company with full ttle guarantee by way of assignment all present and future copyright, database rights, design rights (whether registered or unregistered) and other proprietary rights (if any) and all rights of acton for damages for infringement of such rights for the full term thereof and any renewals and extensions thereof throughout the world and you hereby waive in favour of the Company all moral rights conferred on you by chapter 4 of part 1 of the Copyright Designs and Patents Act 1988 in relaton to any of the Works and at the request and expense of the Company you shall do all things and execute all documents necessary or desirable to substantate the rights of the Company in the Works.</w:t>
      </w:r>
    </w:p>
    <w:p>
      <w:pPr>
        <w:sectPr>
          <w:pgSz w:w="11900" w:h="16838" w:orient="portrait"/>
          <w:cols w:equalWidth="0" w:num="1">
            <w:col w:w="11140"/>
          </w:cols>
          <w:pgMar w:left="320" w:top="371" w:right="439" w:bottom="1440" w:gutter="0" w:footer="0" w:header="0"/>
          <w:type w:val="continuous"/>
        </w:sectPr>
      </w:pPr>
    </w:p>
    <w:p>
      <w:pPr>
        <w:spacing w:after="0" w:line="273" w:lineRule="exact"/>
        <w:rPr>
          <w:sz w:val="20"/>
          <w:szCs w:val="20"/>
          <w:color w:val="auto"/>
        </w:rPr>
      </w:pPr>
    </w:p>
    <w:p>
      <w:pPr>
        <w:ind w:left="100"/>
        <w:spacing w:after="0"/>
        <w:rPr>
          <w:sz w:val="20"/>
          <w:szCs w:val="20"/>
          <w:color w:val="auto"/>
        </w:rPr>
      </w:pPr>
      <w:r>
        <w:rPr>
          <w:rFonts w:ascii="Calibri" w:cs="Calibri" w:eastAsia="Calibri" w:hAnsi="Calibri"/>
          <w:sz w:val="20"/>
          <w:szCs w:val="20"/>
          <w:b w:val="1"/>
          <w:bCs w:val="1"/>
          <w:color w:val="auto"/>
        </w:rPr>
        <w:t>Other Obligatons:</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Calibri" w:cs="Calibri" w:eastAsia="Calibri" w:hAnsi="Calibri"/>
          <w:sz w:val="20"/>
          <w:szCs w:val="20"/>
          <w:color w:val="auto"/>
        </w:rPr>
        <w:t>If you are in grade 9 or above, and/or personally deal with any Client or Prospectve Client in the course of your dutes, you shall not without the prior writen consent of the Company for a period of 12 months afer the terminaton of your employment, other than afer the wrongful terminaton of your employment by the Company, whether on behalf of yourself or any other person, frm or company in competton with the Company or the Group, directly or indirectly:</w:t>
      </w:r>
    </w:p>
    <w:p>
      <w:pPr>
        <w:spacing w:after="0" w:line="200" w:lineRule="exact"/>
        <w:rPr>
          <w:sz w:val="20"/>
          <w:szCs w:val="20"/>
          <w:color w:val="auto"/>
        </w:rPr>
      </w:pPr>
    </w:p>
    <w:p>
      <w:pPr>
        <w:sectPr>
          <w:pgSz w:w="11900" w:h="16838" w:orient="portrait"/>
          <w:cols w:equalWidth="0" w:num="2">
            <w:col w:w="2740" w:space="720"/>
            <w:col w:w="7680"/>
          </w:cols>
          <w:pgMar w:left="320" w:top="371" w:right="439" w:bottom="1440" w:gutter="0" w:footer="0" w:header="0"/>
          <w:type w:val="continuous"/>
        </w:sectPr>
      </w:pPr>
    </w:p>
    <w:p>
      <w:pPr>
        <w:spacing w:after="0" w:line="28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 xml:space="preserve">i.  </w:t>
      </w:r>
      <w:r>
        <w:rPr>
          <w:rFonts w:ascii="Calibri" w:cs="Calibri" w:eastAsia="Calibri" w:hAnsi="Calibri"/>
          <w:sz w:val="20"/>
          <w:szCs w:val="20"/>
          <w:color w:val="auto"/>
        </w:rPr>
        <w:t>solicit Business from; or</w:t>
      </w:r>
    </w:p>
    <w:p>
      <w:pPr>
        <w:spacing w:after="0" w:line="1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 xml:space="preserve">ii. </w:t>
      </w:r>
      <w:r>
        <w:rPr>
          <w:rFonts w:ascii="Calibri" w:cs="Calibri" w:eastAsia="Calibri" w:hAnsi="Calibri"/>
          <w:sz w:val="20"/>
          <w:szCs w:val="20"/>
          <w:color w:val="auto"/>
        </w:rPr>
        <w:t>seek to procure orders from; or</w:t>
      </w:r>
    </w:p>
    <w:p>
      <w:pPr>
        <w:spacing w:after="0" w:line="1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 xml:space="preserve">iii. </w:t>
      </w:r>
      <w:r>
        <w:rPr>
          <w:rFonts w:ascii="Calibri" w:cs="Calibri" w:eastAsia="Calibri" w:hAnsi="Calibri"/>
          <w:sz w:val="20"/>
          <w:szCs w:val="20"/>
          <w:color w:val="auto"/>
        </w:rPr>
        <w:t>transact or handle Business or otherwise deal with; or</w:t>
      </w:r>
    </w:p>
    <w:p>
      <w:pPr>
        <w:spacing w:after="0" w:line="1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 xml:space="preserve">iv. </w:t>
      </w:r>
      <w:r>
        <w:rPr>
          <w:rFonts w:ascii="Calibri" w:cs="Calibri" w:eastAsia="Calibri" w:hAnsi="Calibri"/>
          <w:sz w:val="20"/>
          <w:szCs w:val="20"/>
          <w:color w:val="auto"/>
        </w:rPr>
        <w:t>approach, canvass or entce away from the Group the Business of</w:t>
      </w:r>
    </w:p>
    <w:p>
      <w:pPr>
        <w:spacing w:after="0" w:line="12" w:lineRule="exact"/>
        <w:rPr>
          <w:sz w:val="20"/>
          <w:szCs w:val="20"/>
          <w:color w:val="auto"/>
        </w:rPr>
      </w:pPr>
    </w:p>
    <w:p>
      <w:pPr>
        <w:spacing w:after="0"/>
        <w:rPr>
          <w:sz w:val="20"/>
          <w:szCs w:val="20"/>
          <w:color w:val="auto"/>
        </w:rPr>
      </w:pPr>
      <w:r>
        <w:rPr>
          <w:rFonts w:ascii="Calibri" w:cs="Calibri" w:eastAsia="Calibri" w:hAnsi="Calibri"/>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71" w:right="439" w:bottom="1440" w:gutter="0" w:footer="0" w:header="0"/>
          <w:type w:val="continuous"/>
        </w:sectPr>
      </w:pPr>
    </w:p>
    <w:bookmarkStart w:id="142" w:name="page143"/>
    <w:bookmarkEnd w:id="142"/>
    <w:tbl>
      <w:tblPr>
        <w:tblLayout w:type="fixed"/>
        <w:tblInd w:w="0" w:type="dxa"/>
        <w:tblCellMar>
          <w:top w:w="0" w:type="dxa"/>
          <w:left w:w="0" w:type="dxa"/>
          <w:bottom w:w="0" w:type="dxa"/>
          <w:right w:w="0" w:type="dxa"/>
        </w:tblCellMar>
      </w:tblPr>
      <w:tr>
        <w:trPr>
          <w:trHeight w:val="244"/>
        </w:trPr>
        <w:tc>
          <w:tcPr>
            <w:tcW w:w="2500" w:type="dxa"/>
            <w:vAlign w:val="bottom"/>
          </w:tcPr>
          <w:p>
            <w:pPr>
              <w:spacing w:after="0"/>
              <w:rPr>
                <w:sz w:val="21"/>
                <w:szCs w:val="21"/>
                <w:color w:val="auto"/>
              </w:rPr>
            </w:pPr>
          </w:p>
        </w:tc>
        <w:tc>
          <w:tcPr>
            <w:tcW w:w="8740" w:type="dxa"/>
            <w:vAlign w:val="bottom"/>
          </w:tcPr>
          <w:p>
            <w:pPr>
              <w:ind w:left="960"/>
              <w:spacing w:after="0"/>
              <w:rPr>
                <w:sz w:val="20"/>
                <w:szCs w:val="20"/>
                <w:color w:val="auto"/>
              </w:rPr>
            </w:pPr>
            <w:r>
              <w:rPr>
                <w:rFonts w:ascii="Calibri" w:cs="Calibri" w:eastAsia="Calibri" w:hAnsi="Calibri"/>
                <w:sz w:val="20"/>
                <w:szCs w:val="20"/>
                <w:color w:val="auto"/>
              </w:rPr>
              <w:t>any Client of the Group with whom you have personally dealt in the course of your dutes at</w:t>
            </w:r>
          </w:p>
        </w:tc>
      </w:tr>
      <w:tr>
        <w:trPr>
          <w:trHeight w:val="243"/>
        </w:trPr>
        <w:tc>
          <w:tcPr>
            <w:tcW w:w="2500" w:type="dxa"/>
            <w:vAlign w:val="bottom"/>
          </w:tcPr>
          <w:p>
            <w:pPr>
              <w:spacing w:after="0"/>
              <w:rPr>
                <w:sz w:val="21"/>
                <w:szCs w:val="21"/>
                <w:color w:val="auto"/>
              </w:rPr>
            </w:pPr>
          </w:p>
        </w:tc>
        <w:tc>
          <w:tcPr>
            <w:tcW w:w="8740" w:type="dxa"/>
            <w:vAlign w:val="bottom"/>
          </w:tcPr>
          <w:p>
            <w:pPr>
              <w:ind w:left="960"/>
              <w:spacing w:after="0" w:line="243" w:lineRule="exact"/>
              <w:rPr>
                <w:sz w:val="20"/>
                <w:szCs w:val="20"/>
                <w:color w:val="auto"/>
              </w:rPr>
            </w:pPr>
            <w:r>
              <w:rPr>
                <w:rFonts w:ascii="Calibri" w:cs="Calibri" w:eastAsia="Calibri" w:hAnsi="Calibri"/>
                <w:sz w:val="20"/>
                <w:szCs w:val="20"/>
                <w:color w:val="auto"/>
              </w:rPr>
              <w:t>any tme during the 12 months prior to the terminaton of your employment. The period of</w:t>
            </w:r>
          </w:p>
        </w:tc>
      </w:tr>
      <w:tr>
        <w:trPr>
          <w:trHeight w:val="243"/>
        </w:trPr>
        <w:tc>
          <w:tcPr>
            <w:tcW w:w="2500" w:type="dxa"/>
            <w:vAlign w:val="bottom"/>
          </w:tcPr>
          <w:p>
            <w:pPr>
              <w:spacing w:after="0"/>
              <w:rPr>
                <w:sz w:val="21"/>
                <w:szCs w:val="21"/>
                <w:color w:val="auto"/>
              </w:rPr>
            </w:pPr>
          </w:p>
        </w:tc>
        <w:tc>
          <w:tcPr>
            <w:tcW w:w="8740" w:type="dxa"/>
            <w:vAlign w:val="bottom"/>
          </w:tcPr>
          <w:p>
            <w:pPr>
              <w:ind w:left="960"/>
              <w:spacing w:after="0" w:line="243" w:lineRule="exact"/>
              <w:rPr>
                <w:sz w:val="20"/>
                <w:szCs w:val="20"/>
                <w:color w:val="auto"/>
              </w:rPr>
            </w:pPr>
            <w:r>
              <w:rPr>
                <w:rFonts w:ascii="Calibri" w:cs="Calibri" w:eastAsia="Calibri" w:hAnsi="Calibri"/>
                <w:sz w:val="20"/>
                <w:szCs w:val="20"/>
                <w:color w:val="auto"/>
              </w:rPr>
              <w:t>this restricton shall be reduced afer the date your employment ends by a period equal in</w:t>
            </w:r>
          </w:p>
        </w:tc>
      </w:tr>
      <w:tr>
        <w:trPr>
          <w:trHeight w:val="243"/>
        </w:trPr>
        <w:tc>
          <w:tcPr>
            <w:tcW w:w="2500" w:type="dxa"/>
            <w:vAlign w:val="bottom"/>
          </w:tcPr>
          <w:p>
            <w:pPr>
              <w:spacing w:after="0"/>
              <w:rPr>
                <w:sz w:val="21"/>
                <w:szCs w:val="21"/>
                <w:color w:val="auto"/>
              </w:rPr>
            </w:pPr>
          </w:p>
        </w:tc>
        <w:tc>
          <w:tcPr>
            <w:tcW w:w="8740" w:type="dxa"/>
            <w:vAlign w:val="bottom"/>
          </w:tcPr>
          <w:p>
            <w:pPr>
              <w:ind w:left="960"/>
              <w:spacing w:after="0" w:line="243" w:lineRule="exact"/>
              <w:rPr>
                <w:sz w:val="20"/>
                <w:szCs w:val="20"/>
                <w:color w:val="auto"/>
              </w:rPr>
            </w:pPr>
            <w:r>
              <w:rPr>
                <w:rFonts w:ascii="Calibri" w:cs="Calibri" w:eastAsia="Calibri" w:hAnsi="Calibri"/>
                <w:sz w:val="20"/>
                <w:szCs w:val="20"/>
                <w:color w:val="auto"/>
              </w:rPr>
              <w:t>length to any period of lawful suspension from your dutes or exclusion from any premises of</w:t>
            </w:r>
          </w:p>
        </w:tc>
      </w:tr>
      <w:tr>
        <w:trPr>
          <w:trHeight w:val="243"/>
        </w:trPr>
        <w:tc>
          <w:tcPr>
            <w:tcW w:w="2500" w:type="dxa"/>
            <w:vAlign w:val="bottom"/>
          </w:tcPr>
          <w:p>
            <w:pPr>
              <w:spacing w:after="0"/>
              <w:rPr>
                <w:sz w:val="21"/>
                <w:szCs w:val="21"/>
                <w:color w:val="auto"/>
              </w:rPr>
            </w:pPr>
          </w:p>
        </w:tc>
        <w:tc>
          <w:tcPr>
            <w:tcW w:w="8740" w:type="dxa"/>
            <w:vAlign w:val="bottom"/>
          </w:tcPr>
          <w:p>
            <w:pPr>
              <w:ind w:left="960"/>
              <w:spacing w:after="0" w:line="243" w:lineRule="exact"/>
              <w:rPr>
                <w:sz w:val="20"/>
                <w:szCs w:val="20"/>
                <w:color w:val="auto"/>
              </w:rPr>
            </w:pPr>
            <w:r>
              <w:rPr>
                <w:rFonts w:ascii="Calibri" w:cs="Calibri" w:eastAsia="Calibri" w:hAnsi="Calibri"/>
                <w:sz w:val="20"/>
                <w:szCs w:val="20"/>
                <w:color w:val="auto"/>
              </w:rPr>
              <w:t>the Company during any period of notce.</w:t>
            </w:r>
          </w:p>
        </w:tc>
      </w:tr>
      <w:tr>
        <w:trPr>
          <w:trHeight w:val="485"/>
        </w:trPr>
        <w:tc>
          <w:tcPr>
            <w:tcW w:w="2500" w:type="dxa"/>
            <w:vAlign w:val="bottom"/>
          </w:tcPr>
          <w:p>
            <w:pPr>
              <w:spacing w:after="0"/>
              <w:rPr>
                <w:sz w:val="24"/>
                <w:szCs w:val="24"/>
                <w:color w:val="auto"/>
              </w:rPr>
            </w:pPr>
          </w:p>
        </w:tc>
        <w:tc>
          <w:tcPr>
            <w:tcW w:w="8740" w:type="dxa"/>
            <w:vAlign w:val="bottom"/>
          </w:tcPr>
          <w:p>
            <w:pPr>
              <w:ind w:left="960"/>
              <w:spacing w:after="0"/>
              <w:rPr>
                <w:sz w:val="20"/>
                <w:szCs w:val="20"/>
                <w:color w:val="auto"/>
              </w:rPr>
            </w:pPr>
            <w:r>
              <w:rPr>
                <w:rFonts w:ascii="Calibri" w:cs="Calibri" w:eastAsia="Calibri" w:hAnsi="Calibri"/>
                <w:sz w:val="20"/>
                <w:szCs w:val="20"/>
                <w:color w:val="auto"/>
              </w:rPr>
              <w:t>The restrictons set out in sub paragraphs i and ii above shall apply as if the references to the</w:t>
            </w:r>
          </w:p>
        </w:tc>
      </w:tr>
      <w:tr>
        <w:trPr>
          <w:trHeight w:val="243"/>
        </w:trPr>
        <w:tc>
          <w:tcPr>
            <w:tcW w:w="2500" w:type="dxa"/>
            <w:vAlign w:val="bottom"/>
          </w:tcPr>
          <w:p>
            <w:pPr>
              <w:spacing w:after="0"/>
              <w:rPr>
                <w:sz w:val="21"/>
                <w:szCs w:val="21"/>
                <w:color w:val="auto"/>
              </w:rPr>
            </w:pPr>
          </w:p>
        </w:tc>
        <w:tc>
          <w:tcPr>
            <w:tcW w:w="8740" w:type="dxa"/>
            <w:vAlign w:val="bottom"/>
          </w:tcPr>
          <w:p>
            <w:pPr>
              <w:ind w:left="960"/>
              <w:spacing w:after="0" w:line="243" w:lineRule="exact"/>
              <w:rPr>
                <w:sz w:val="20"/>
                <w:szCs w:val="20"/>
                <w:color w:val="auto"/>
              </w:rPr>
            </w:pPr>
            <w:r>
              <w:rPr>
                <w:rFonts w:ascii="Calibri" w:cs="Calibri" w:eastAsia="Calibri" w:hAnsi="Calibri"/>
                <w:sz w:val="20"/>
                <w:szCs w:val="20"/>
                <w:color w:val="auto"/>
              </w:rPr>
              <w:t>“Prospectve Client” were substtuted for references to the “Client”.</w:t>
            </w:r>
          </w:p>
        </w:tc>
      </w:tr>
      <w:tr>
        <w:trPr>
          <w:trHeight w:val="485"/>
        </w:trPr>
        <w:tc>
          <w:tcPr>
            <w:tcW w:w="2500" w:type="dxa"/>
            <w:vAlign w:val="bottom"/>
          </w:tcPr>
          <w:p>
            <w:pPr>
              <w:spacing w:after="0"/>
              <w:rPr>
                <w:sz w:val="24"/>
                <w:szCs w:val="24"/>
                <w:color w:val="auto"/>
              </w:rPr>
            </w:pPr>
          </w:p>
        </w:tc>
        <w:tc>
          <w:tcPr>
            <w:tcW w:w="8740" w:type="dxa"/>
            <w:vAlign w:val="bottom"/>
          </w:tcPr>
          <w:p>
            <w:pPr>
              <w:ind w:left="960"/>
              <w:spacing w:after="0"/>
              <w:rPr>
                <w:sz w:val="20"/>
                <w:szCs w:val="20"/>
                <w:color w:val="auto"/>
              </w:rPr>
            </w:pPr>
            <w:r>
              <w:rPr>
                <w:rFonts w:ascii="Calibri" w:cs="Calibri" w:eastAsia="Calibri" w:hAnsi="Calibri"/>
                <w:sz w:val="20"/>
                <w:szCs w:val="20"/>
                <w:color w:val="auto"/>
              </w:rPr>
              <w:t>If you are in grade 9 or above, you shall not for a period of 6 months afer the lawful</w:t>
            </w:r>
          </w:p>
        </w:tc>
      </w:tr>
      <w:tr>
        <w:trPr>
          <w:trHeight w:val="243"/>
        </w:trPr>
        <w:tc>
          <w:tcPr>
            <w:tcW w:w="2500" w:type="dxa"/>
            <w:vAlign w:val="bottom"/>
          </w:tcPr>
          <w:p>
            <w:pPr>
              <w:spacing w:after="0"/>
              <w:rPr>
                <w:sz w:val="21"/>
                <w:szCs w:val="21"/>
                <w:color w:val="auto"/>
              </w:rPr>
            </w:pPr>
          </w:p>
        </w:tc>
        <w:tc>
          <w:tcPr>
            <w:tcW w:w="8740" w:type="dxa"/>
            <w:vAlign w:val="bottom"/>
          </w:tcPr>
          <w:p>
            <w:pPr>
              <w:ind w:left="960"/>
              <w:spacing w:after="0" w:line="243" w:lineRule="exact"/>
              <w:rPr>
                <w:sz w:val="20"/>
                <w:szCs w:val="20"/>
                <w:color w:val="auto"/>
              </w:rPr>
            </w:pPr>
            <w:r>
              <w:rPr>
                <w:rFonts w:ascii="Calibri" w:cs="Calibri" w:eastAsia="Calibri" w:hAnsi="Calibri"/>
                <w:sz w:val="20"/>
                <w:szCs w:val="20"/>
                <w:color w:val="auto"/>
              </w:rPr>
              <w:t>terminaton of your employment directly or indirectly induce or seek to induce any employee</w:t>
            </w:r>
          </w:p>
        </w:tc>
      </w:tr>
      <w:tr>
        <w:trPr>
          <w:trHeight w:val="243"/>
        </w:trPr>
        <w:tc>
          <w:tcPr>
            <w:tcW w:w="2500" w:type="dxa"/>
            <w:vAlign w:val="bottom"/>
          </w:tcPr>
          <w:p>
            <w:pPr>
              <w:spacing w:after="0"/>
              <w:rPr>
                <w:sz w:val="21"/>
                <w:szCs w:val="21"/>
                <w:color w:val="auto"/>
              </w:rPr>
            </w:pPr>
          </w:p>
        </w:tc>
        <w:tc>
          <w:tcPr>
            <w:tcW w:w="8740" w:type="dxa"/>
            <w:vAlign w:val="bottom"/>
          </w:tcPr>
          <w:p>
            <w:pPr>
              <w:ind w:left="960"/>
              <w:spacing w:after="0" w:line="243" w:lineRule="exact"/>
              <w:rPr>
                <w:sz w:val="20"/>
                <w:szCs w:val="20"/>
                <w:color w:val="auto"/>
              </w:rPr>
            </w:pPr>
            <w:r>
              <w:rPr>
                <w:rFonts w:ascii="Calibri" w:cs="Calibri" w:eastAsia="Calibri" w:hAnsi="Calibri"/>
                <w:sz w:val="20"/>
                <w:szCs w:val="20"/>
                <w:color w:val="auto"/>
              </w:rPr>
              <w:t>of the Group with whom you have worked in the 12 months preceding the terminaton of</w:t>
            </w:r>
          </w:p>
        </w:tc>
      </w:tr>
      <w:tr>
        <w:trPr>
          <w:trHeight w:val="243"/>
        </w:trPr>
        <w:tc>
          <w:tcPr>
            <w:tcW w:w="2500" w:type="dxa"/>
            <w:vAlign w:val="bottom"/>
          </w:tcPr>
          <w:p>
            <w:pPr>
              <w:spacing w:after="0"/>
              <w:rPr>
                <w:sz w:val="21"/>
                <w:szCs w:val="21"/>
                <w:color w:val="auto"/>
              </w:rPr>
            </w:pPr>
          </w:p>
        </w:tc>
        <w:tc>
          <w:tcPr>
            <w:tcW w:w="8740" w:type="dxa"/>
            <w:vAlign w:val="bottom"/>
          </w:tcPr>
          <w:p>
            <w:pPr>
              <w:ind w:left="960"/>
              <w:spacing w:after="0" w:line="243" w:lineRule="exact"/>
              <w:rPr>
                <w:sz w:val="20"/>
                <w:szCs w:val="20"/>
                <w:color w:val="auto"/>
              </w:rPr>
            </w:pPr>
            <w:r>
              <w:rPr>
                <w:rFonts w:ascii="Calibri" w:cs="Calibri" w:eastAsia="Calibri" w:hAnsi="Calibri"/>
                <w:sz w:val="20"/>
                <w:szCs w:val="20"/>
                <w:color w:val="auto"/>
              </w:rPr>
              <w:t>your employment (exceptng a clerical or secretarial employee) to leave its employment</w:t>
            </w:r>
          </w:p>
        </w:tc>
      </w:tr>
      <w:tr>
        <w:trPr>
          <w:trHeight w:val="243"/>
        </w:trPr>
        <w:tc>
          <w:tcPr>
            <w:tcW w:w="2500" w:type="dxa"/>
            <w:vAlign w:val="bottom"/>
          </w:tcPr>
          <w:p>
            <w:pPr>
              <w:spacing w:after="0"/>
              <w:rPr>
                <w:sz w:val="21"/>
                <w:szCs w:val="21"/>
                <w:color w:val="auto"/>
              </w:rPr>
            </w:pPr>
          </w:p>
        </w:tc>
        <w:tc>
          <w:tcPr>
            <w:tcW w:w="8740" w:type="dxa"/>
            <w:vAlign w:val="bottom"/>
          </w:tcPr>
          <w:p>
            <w:pPr>
              <w:ind w:left="960"/>
              <w:spacing w:after="0" w:line="243" w:lineRule="exact"/>
              <w:rPr>
                <w:sz w:val="20"/>
                <w:szCs w:val="20"/>
                <w:color w:val="auto"/>
              </w:rPr>
            </w:pPr>
            <w:r>
              <w:rPr>
                <w:rFonts w:ascii="Calibri" w:cs="Calibri" w:eastAsia="Calibri" w:hAnsi="Calibri"/>
                <w:sz w:val="20"/>
                <w:szCs w:val="20"/>
                <w:color w:val="auto"/>
              </w:rPr>
              <w:t>where the departure of that employee (whether alone or in conjuncton with the departure</w:t>
            </w:r>
          </w:p>
        </w:tc>
      </w:tr>
      <w:tr>
        <w:trPr>
          <w:trHeight w:val="243"/>
        </w:trPr>
        <w:tc>
          <w:tcPr>
            <w:tcW w:w="2500" w:type="dxa"/>
            <w:vAlign w:val="bottom"/>
          </w:tcPr>
          <w:p>
            <w:pPr>
              <w:spacing w:after="0"/>
              <w:rPr>
                <w:sz w:val="21"/>
                <w:szCs w:val="21"/>
                <w:color w:val="auto"/>
              </w:rPr>
            </w:pPr>
          </w:p>
        </w:tc>
        <w:tc>
          <w:tcPr>
            <w:tcW w:w="8740" w:type="dxa"/>
            <w:vAlign w:val="bottom"/>
          </w:tcPr>
          <w:p>
            <w:pPr>
              <w:ind w:left="960"/>
              <w:spacing w:after="0" w:line="243" w:lineRule="exact"/>
              <w:rPr>
                <w:sz w:val="20"/>
                <w:szCs w:val="20"/>
                <w:color w:val="auto"/>
              </w:rPr>
            </w:pPr>
            <w:r>
              <w:rPr>
                <w:rFonts w:ascii="Calibri" w:cs="Calibri" w:eastAsia="Calibri" w:hAnsi="Calibri"/>
                <w:sz w:val="20"/>
                <w:szCs w:val="20"/>
                <w:color w:val="auto"/>
              </w:rPr>
              <w:t>of other employees who are members of a team in which you performed dutes) would do</w:t>
            </w:r>
          </w:p>
        </w:tc>
      </w:tr>
      <w:tr>
        <w:trPr>
          <w:trHeight w:val="243"/>
        </w:trPr>
        <w:tc>
          <w:tcPr>
            <w:tcW w:w="2500" w:type="dxa"/>
            <w:vAlign w:val="bottom"/>
          </w:tcPr>
          <w:p>
            <w:pPr>
              <w:spacing w:after="0"/>
              <w:rPr>
                <w:sz w:val="21"/>
                <w:szCs w:val="21"/>
                <w:color w:val="auto"/>
              </w:rPr>
            </w:pPr>
          </w:p>
        </w:tc>
        <w:tc>
          <w:tcPr>
            <w:tcW w:w="8740" w:type="dxa"/>
            <w:vAlign w:val="bottom"/>
          </w:tcPr>
          <w:p>
            <w:pPr>
              <w:ind w:left="960"/>
              <w:spacing w:after="0" w:line="243" w:lineRule="exact"/>
              <w:rPr>
                <w:sz w:val="20"/>
                <w:szCs w:val="20"/>
                <w:color w:val="auto"/>
              </w:rPr>
            </w:pPr>
            <w:r>
              <w:rPr>
                <w:rFonts w:ascii="Calibri" w:cs="Calibri" w:eastAsia="Calibri" w:hAnsi="Calibri"/>
                <w:sz w:val="20"/>
                <w:szCs w:val="20"/>
                <w:color w:val="auto"/>
              </w:rPr>
              <w:t>material harm to the Group and where the departure is intended for the beneft of you or</w:t>
            </w:r>
          </w:p>
        </w:tc>
      </w:tr>
      <w:tr>
        <w:trPr>
          <w:trHeight w:val="243"/>
        </w:trPr>
        <w:tc>
          <w:tcPr>
            <w:tcW w:w="2500" w:type="dxa"/>
            <w:vAlign w:val="bottom"/>
          </w:tcPr>
          <w:p>
            <w:pPr>
              <w:spacing w:after="0"/>
              <w:rPr>
                <w:sz w:val="21"/>
                <w:szCs w:val="21"/>
                <w:color w:val="auto"/>
              </w:rPr>
            </w:pPr>
          </w:p>
        </w:tc>
        <w:tc>
          <w:tcPr>
            <w:tcW w:w="8740" w:type="dxa"/>
            <w:vAlign w:val="bottom"/>
          </w:tcPr>
          <w:p>
            <w:pPr>
              <w:ind w:left="960"/>
              <w:spacing w:after="0" w:line="243" w:lineRule="exact"/>
              <w:rPr>
                <w:sz w:val="20"/>
                <w:szCs w:val="20"/>
                <w:color w:val="auto"/>
              </w:rPr>
            </w:pPr>
            <w:r>
              <w:rPr>
                <w:rFonts w:ascii="Calibri" w:cs="Calibri" w:eastAsia="Calibri" w:hAnsi="Calibri"/>
                <w:sz w:val="20"/>
                <w:szCs w:val="20"/>
                <w:color w:val="auto"/>
              </w:rPr>
              <w:t>your new employer or any other organisaton carrying on a business in competton with the</w:t>
            </w:r>
          </w:p>
        </w:tc>
      </w:tr>
      <w:tr>
        <w:trPr>
          <w:trHeight w:val="243"/>
        </w:trPr>
        <w:tc>
          <w:tcPr>
            <w:tcW w:w="2500" w:type="dxa"/>
            <w:vAlign w:val="bottom"/>
          </w:tcPr>
          <w:p>
            <w:pPr>
              <w:spacing w:after="0"/>
              <w:rPr>
                <w:sz w:val="21"/>
                <w:szCs w:val="21"/>
                <w:color w:val="auto"/>
              </w:rPr>
            </w:pPr>
          </w:p>
        </w:tc>
        <w:tc>
          <w:tcPr>
            <w:tcW w:w="8740" w:type="dxa"/>
            <w:vAlign w:val="bottom"/>
          </w:tcPr>
          <w:p>
            <w:pPr>
              <w:ind w:left="960"/>
              <w:spacing w:after="0" w:line="243" w:lineRule="exact"/>
              <w:rPr>
                <w:sz w:val="20"/>
                <w:szCs w:val="20"/>
                <w:color w:val="auto"/>
              </w:rPr>
            </w:pPr>
            <w:r>
              <w:rPr>
                <w:rFonts w:ascii="Calibri" w:cs="Calibri" w:eastAsia="Calibri" w:hAnsi="Calibri"/>
                <w:sz w:val="20"/>
                <w:szCs w:val="20"/>
                <w:color w:val="auto"/>
              </w:rPr>
              <w:t>Group.</w:t>
            </w:r>
          </w:p>
        </w:tc>
      </w:tr>
      <w:tr>
        <w:trPr>
          <w:trHeight w:val="485"/>
        </w:trPr>
        <w:tc>
          <w:tcPr>
            <w:tcW w:w="2500" w:type="dxa"/>
            <w:vAlign w:val="bottom"/>
          </w:tcPr>
          <w:p>
            <w:pPr>
              <w:spacing w:after="0"/>
              <w:rPr>
                <w:sz w:val="24"/>
                <w:szCs w:val="24"/>
                <w:color w:val="auto"/>
              </w:rPr>
            </w:pPr>
          </w:p>
        </w:tc>
        <w:tc>
          <w:tcPr>
            <w:tcW w:w="8740" w:type="dxa"/>
            <w:vAlign w:val="bottom"/>
          </w:tcPr>
          <w:p>
            <w:pPr>
              <w:ind w:left="960"/>
              <w:spacing w:after="0"/>
              <w:rPr>
                <w:sz w:val="20"/>
                <w:szCs w:val="20"/>
                <w:color w:val="auto"/>
              </w:rPr>
            </w:pPr>
            <w:r>
              <w:rPr>
                <w:rFonts w:ascii="Calibri" w:cs="Calibri" w:eastAsia="Calibri" w:hAnsi="Calibri"/>
                <w:sz w:val="20"/>
                <w:szCs w:val="20"/>
                <w:color w:val="auto"/>
              </w:rPr>
              <w:t>Each of the above restrictons consttutes an entrely separate and distnct covenant and the</w:t>
            </w:r>
          </w:p>
        </w:tc>
      </w:tr>
      <w:tr>
        <w:trPr>
          <w:trHeight w:val="243"/>
        </w:trPr>
        <w:tc>
          <w:tcPr>
            <w:tcW w:w="2500" w:type="dxa"/>
            <w:vAlign w:val="bottom"/>
          </w:tcPr>
          <w:p>
            <w:pPr>
              <w:spacing w:after="0"/>
              <w:rPr>
                <w:sz w:val="21"/>
                <w:szCs w:val="21"/>
                <w:color w:val="auto"/>
              </w:rPr>
            </w:pPr>
          </w:p>
        </w:tc>
        <w:tc>
          <w:tcPr>
            <w:tcW w:w="8740" w:type="dxa"/>
            <w:vAlign w:val="bottom"/>
          </w:tcPr>
          <w:p>
            <w:pPr>
              <w:ind w:left="960"/>
              <w:spacing w:after="0" w:line="243" w:lineRule="exact"/>
              <w:rPr>
                <w:sz w:val="20"/>
                <w:szCs w:val="20"/>
                <w:color w:val="auto"/>
              </w:rPr>
            </w:pPr>
            <w:r>
              <w:rPr>
                <w:rFonts w:ascii="Calibri" w:cs="Calibri" w:eastAsia="Calibri" w:hAnsi="Calibri"/>
                <w:sz w:val="20"/>
                <w:szCs w:val="20"/>
                <w:color w:val="auto"/>
              </w:rPr>
              <w:t>invalidity or unenforceability of any such Covenant shall not afect the validity or</w:t>
            </w:r>
          </w:p>
        </w:tc>
      </w:tr>
      <w:tr>
        <w:trPr>
          <w:trHeight w:val="243"/>
        </w:trPr>
        <w:tc>
          <w:tcPr>
            <w:tcW w:w="2500" w:type="dxa"/>
            <w:vAlign w:val="bottom"/>
          </w:tcPr>
          <w:p>
            <w:pPr>
              <w:spacing w:after="0"/>
              <w:rPr>
                <w:sz w:val="21"/>
                <w:szCs w:val="21"/>
                <w:color w:val="auto"/>
              </w:rPr>
            </w:pPr>
          </w:p>
        </w:tc>
        <w:tc>
          <w:tcPr>
            <w:tcW w:w="8740" w:type="dxa"/>
            <w:vAlign w:val="bottom"/>
          </w:tcPr>
          <w:p>
            <w:pPr>
              <w:ind w:left="960"/>
              <w:spacing w:after="0" w:line="243" w:lineRule="exact"/>
              <w:rPr>
                <w:sz w:val="20"/>
                <w:szCs w:val="20"/>
                <w:color w:val="auto"/>
              </w:rPr>
            </w:pPr>
            <w:r>
              <w:rPr>
                <w:rFonts w:ascii="Calibri" w:cs="Calibri" w:eastAsia="Calibri" w:hAnsi="Calibri"/>
                <w:sz w:val="20"/>
                <w:szCs w:val="20"/>
                <w:color w:val="auto"/>
              </w:rPr>
              <w:t>enforceability of the remaining covenants.</w:t>
            </w:r>
          </w:p>
        </w:tc>
      </w:tr>
      <w:tr>
        <w:trPr>
          <w:trHeight w:val="485"/>
        </w:trPr>
        <w:tc>
          <w:tcPr>
            <w:tcW w:w="2500" w:type="dxa"/>
            <w:vAlign w:val="bottom"/>
          </w:tcPr>
          <w:p>
            <w:pPr>
              <w:spacing w:after="0"/>
              <w:rPr>
                <w:sz w:val="24"/>
                <w:szCs w:val="24"/>
                <w:color w:val="auto"/>
              </w:rPr>
            </w:pPr>
          </w:p>
        </w:tc>
        <w:tc>
          <w:tcPr>
            <w:tcW w:w="8740" w:type="dxa"/>
            <w:vAlign w:val="bottom"/>
          </w:tcPr>
          <w:p>
            <w:pPr>
              <w:ind w:left="960"/>
              <w:spacing w:after="0"/>
              <w:rPr>
                <w:sz w:val="20"/>
                <w:szCs w:val="20"/>
                <w:color w:val="auto"/>
              </w:rPr>
            </w:pPr>
            <w:r>
              <w:rPr>
                <w:rFonts w:ascii="Calibri" w:cs="Calibri" w:eastAsia="Calibri" w:hAnsi="Calibri"/>
                <w:sz w:val="20"/>
                <w:szCs w:val="20"/>
                <w:color w:val="auto"/>
              </w:rPr>
              <w:t>The details of all your obligatons are contained in the Global Policy Manual and the Associate</w:t>
            </w:r>
          </w:p>
        </w:tc>
      </w:tr>
      <w:tr>
        <w:trPr>
          <w:trHeight w:val="243"/>
        </w:trPr>
        <w:tc>
          <w:tcPr>
            <w:tcW w:w="2500" w:type="dxa"/>
            <w:vAlign w:val="bottom"/>
          </w:tcPr>
          <w:p>
            <w:pPr>
              <w:spacing w:after="0"/>
              <w:rPr>
                <w:sz w:val="21"/>
                <w:szCs w:val="21"/>
                <w:color w:val="auto"/>
              </w:rPr>
            </w:pPr>
          </w:p>
        </w:tc>
        <w:tc>
          <w:tcPr>
            <w:tcW w:w="8740" w:type="dxa"/>
            <w:vAlign w:val="bottom"/>
          </w:tcPr>
          <w:p>
            <w:pPr>
              <w:ind w:left="960"/>
              <w:spacing w:after="0" w:line="243" w:lineRule="exact"/>
              <w:rPr>
                <w:sz w:val="20"/>
                <w:szCs w:val="20"/>
                <w:color w:val="auto"/>
              </w:rPr>
            </w:pPr>
            <w:r>
              <w:rPr>
                <w:rFonts w:ascii="Calibri" w:cs="Calibri" w:eastAsia="Calibri" w:hAnsi="Calibri"/>
                <w:sz w:val="20"/>
                <w:szCs w:val="20"/>
                <w:color w:val="auto"/>
              </w:rPr>
              <w:t>Handbook and the terms herein should be read in conjuncton with those in the Global Policy</w:t>
            </w:r>
          </w:p>
        </w:tc>
      </w:tr>
      <w:tr>
        <w:trPr>
          <w:trHeight w:val="243"/>
        </w:trPr>
        <w:tc>
          <w:tcPr>
            <w:tcW w:w="2500" w:type="dxa"/>
            <w:vAlign w:val="bottom"/>
          </w:tcPr>
          <w:p>
            <w:pPr>
              <w:spacing w:after="0"/>
              <w:rPr>
                <w:sz w:val="21"/>
                <w:szCs w:val="21"/>
                <w:color w:val="auto"/>
              </w:rPr>
            </w:pPr>
          </w:p>
        </w:tc>
        <w:tc>
          <w:tcPr>
            <w:tcW w:w="8740" w:type="dxa"/>
            <w:vAlign w:val="bottom"/>
          </w:tcPr>
          <w:p>
            <w:pPr>
              <w:ind w:left="960"/>
              <w:spacing w:after="0" w:line="243" w:lineRule="exact"/>
              <w:rPr>
                <w:sz w:val="20"/>
                <w:szCs w:val="20"/>
                <w:color w:val="auto"/>
              </w:rPr>
            </w:pPr>
            <w:r>
              <w:rPr>
                <w:rFonts w:ascii="Calibri" w:cs="Calibri" w:eastAsia="Calibri" w:hAnsi="Calibri"/>
                <w:sz w:val="20"/>
                <w:szCs w:val="20"/>
                <w:color w:val="auto"/>
              </w:rPr>
              <w:t>Manual and Associate Handbook.</w:t>
            </w:r>
          </w:p>
        </w:tc>
      </w:tr>
      <w:tr>
        <w:trPr>
          <w:trHeight w:val="512"/>
        </w:trPr>
        <w:tc>
          <w:tcPr>
            <w:tcW w:w="2500" w:type="dxa"/>
            <w:vAlign w:val="bottom"/>
          </w:tcPr>
          <w:p>
            <w:pPr>
              <w:jc w:val="right"/>
              <w:ind w:right="881"/>
              <w:spacing w:after="0"/>
              <w:rPr>
                <w:sz w:val="20"/>
                <w:szCs w:val="20"/>
                <w:color w:val="auto"/>
              </w:rPr>
            </w:pPr>
            <w:r>
              <w:rPr>
                <w:rFonts w:ascii="Calibri" w:cs="Calibri" w:eastAsia="Calibri" w:hAnsi="Calibri"/>
                <w:sz w:val="20"/>
                <w:szCs w:val="20"/>
                <w:b w:val="1"/>
                <w:bCs w:val="1"/>
                <w:color w:val="auto"/>
              </w:rPr>
              <w:t>Pension Scheme:</w:t>
            </w:r>
          </w:p>
        </w:tc>
        <w:tc>
          <w:tcPr>
            <w:tcW w:w="8740" w:type="dxa"/>
            <w:vAlign w:val="bottom"/>
          </w:tcPr>
          <w:p>
            <w:pPr>
              <w:ind w:left="960"/>
              <w:spacing w:after="0"/>
              <w:rPr>
                <w:sz w:val="20"/>
                <w:szCs w:val="20"/>
                <w:color w:val="auto"/>
              </w:rPr>
            </w:pPr>
            <w:r>
              <w:rPr>
                <w:rFonts w:ascii="Calibri" w:cs="Calibri" w:eastAsia="Calibri" w:hAnsi="Calibri"/>
                <w:sz w:val="20"/>
                <w:szCs w:val="20"/>
                <w:color w:val="auto"/>
              </w:rPr>
              <w:t>The Group operates the Willis Pension Scheme. The Scheme is closed to new entrants but</w:t>
            </w:r>
          </w:p>
        </w:tc>
      </w:tr>
      <w:tr>
        <w:trPr>
          <w:trHeight w:val="243"/>
        </w:trPr>
        <w:tc>
          <w:tcPr>
            <w:tcW w:w="2500" w:type="dxa"/>
            <w:vAlign w:val="bottom"/>
          </w:tcPr>
          <w:p>
            <w:pPr>
              <w:spacing w:after="0"/>
              <w:rPr>
                <w:sz w:val="21"/>
                <w:szCs w:val="21"/>
                <w:color w:val="auto"/>
              </w:rPr>
            </w:pPr>
          </w:p>
        </w:tc>
        <w:tc>
          <w:tcPr>
            <w:tcW w:w="8740" w:type="dxa"/>
            <w:vAlign w:val="bottom"/>
          </w:tcPr>
          <w:p>
            <w:pPr>
              <w:ind w:left="960"/>
              <w:spacing w:after="0" w:line="243" w:lineRule="exact"/>
              <w:rPr>
                <w:sz w:val="20"/>
                <w:szCs w:val="20"/>
                <w:color w:val="auto"/>
              </w:rPr>
            </w:pPr>
            <w:r>
              <w:rPr>
                <w:rFonts w:ascii="Calibri" w:cs="Calibri" w:eastAsia="Calibri" w:hAnsi="Calibri"/>
                <w:sz w:val="20"/>
                <w:szCs w:val="20"/>
                <w:color w:val="auto"/>
              </w:rPr>
              <w:t>you are enttled to remain as a member of the Scheme going forward. Details of the benefts</w:t>
            </w:r>
          </w:p>
        </w:tc>
      </w:tr>
      <w:tr>
        <w:trPr>
          <w:trHeight w:val="243"/>
        </w:trPr>
        <w:tc>
          <w:tcPr>
            <w:tcW w:w="2500" w:type="dxa"/>
            <w:vAlign w:val="bottom"/>
          </w:tcPr>
          <w:p>
            <w:pPr>
              <w:spacing w:after="0"/>
              <w:rPr>
                <w:sz w:val="21"/>
                <w:szCs w:val="21"/>
                <w:color w:val="auto"/>
              </w:rPr>
            </w:pPr>
          </w:p>
        </w:tc>
        <w:tc>
          <w:tcPr>
            <w:tcW w:w="8740" w:type="dxa"/>
            <w:vAlign w:val="bottom"/>
          </w:tcPr>
          <w:p>
            <w:pPr>
              <w:ind w:left="960"/>
              <w:spacing w:after="0" w:line="243" w:lineRule="exact"/>
              <w:rPr>
                <w:sz w:val="20"/>
                <w:szCs w:val="20"/>
                <w:color w:val="auto"/>
              </w:rPr>
            </w:pPr>
            <w:r>
              <w:rPr>
                <w:rFonts w:ascii="Calibri" w:cs="Calibri" w:eastAsia="Calibri" w:hAnsi="Calibri"/>
                <w:sz w:val="20"/>
                <w:szCs w:val="20"/>
                <w:color w:val="auto"/>
              </w:rPr>
              <w:t>are provided in the Scheme Booklet. By acceptng this contract you authorise pension</w:t>
            </w:r>
          </w:p>
        </w:tc>
      </w:tr>
      <w:tr>
        <w:trPr>
          <w:trHeight w:val="243"/>
        </w:trPr>
        <w:tc>
          <w:tcPr>
            <w:tcW w:w="2500" w:type="dxa"/>
            <w:vAlign w:val="bottom"/>
          </w:tcPr>
          <w:p>
            <w:pPr>
              <w:spacing w:after="0"/>
              <w:rPr>
                <w:sz w:val="21"/>
                <w:szCs w:val="21"/>
                <w:color w:val="auto"/>
              </w:rPr>
            </w:pPr>
          </w:p>
        </w:tc>
        <w:tc>
          <w:tcPr>
            <w:tcW w:w="8740" w:type="dxa"/>
            <w:vAlign w:val="bottom"/>
          </w:tcPr>
          <w:p>
            <w:pPr>
              <w:ind w:left="960"/>
              <w:spacing w:after="0" w:line="243" w:lineRule="exact"/>
              <w:rPr>
                <w:sz w:val="20"/>
                <w:szCs w:val="20"/>
                <w:color w:val="auto"/>
              </w:rPr>
            </w:pPr>
            <w:r>
              <w:rPr>
                <w:rFonts w:ascii="Calibri" w:cs="Calibri" w:eastAsia="Calibri" w:hAnsi="Calibri"/>
                <w:sz w:val="20"/>
                <w:szCs w:val="20"/>
                <w:color w:val="auto"/>
              </w:rPr>
              <w:t>contributons to be deducted from your base salary, unless an opt out is received or unless</w:t>
            </w:r>
          </w:p>
        </w:tc>
      </w:tr>
      <w:tr>
        <w:trPr>
          <w:trHeight w:val="243"/>
        </w:trPr>
        <w:tc>
          <w:tcPr>
            <w:tcW w:w="2500" w:type="dxa"/>
            <w:vAlign w:val="bottom"/>
          </w:tcPr>
          <w:p>
            <w:pPr>
              <w:spacing w:after="0"/>
              <w:rPr>
                <w:sz w:val="21"/>
                <w:szCs w:val="21"/>
                <w:color w:val="auto"/>
              </w:rPr>
            </w:pPr>
          </w:p>
        </w:tc>
        <w:tc>
          <w:tcPr>
            <w:tcW w:w="8740" w:type="dxa"/>
            <w:vAlign w:val="bottom"/>
          </w:tcPr>
          <w:p>
            <w:pPr>
              <w:ind w:left="960"/>
              <w:spacing w:after="0" w:line="243" w:lineRule="exact"/>
              <w:rPr>
                <w:sz w:val="20"/>
                <w:szCs w:val="20"/>
                <w:color w:val="auto"/>
              </w:rPr>
            </w:pPr>
            <w:r>
              <w:rPr>
                <w:rFonts w:ascii="Calibri" w:cs="Calibri" w:eastAsia="Calibri" w:hAnsi="Calibri"/>
                <w:sz w:val="20"/>
                <w:szCs w:val="20"/>
                <w:color w:val="auto"/>
              </w:rPr>
              <w:t>you have agreed to join the Salary Plus scheme.</w:t>
            </w:r>
          </w:p>
        </w:tc>
      </w:tr>
      <w:tr>
        <w:trPr>
          <w:trHeight w:val="485"/>
        </w:trPr>
        <w:tc>
          <w:tcPr>
            <w:tcW w:w="2500" w:type="dxa"/>
            <w:vAlign w:val="bottom"/>
          </w:tcPr>
          <w:p>
            <w:pPr>
              <w:spacing w:after="0"/>
              <w:rPr>
                <w:sz w:val="24"/>
                <w:szCs w:val="24"/>
                <w:color w:val="auto"/>
              </w:rPr>
            </w:pPr>
          </w:p>
        </w:tc>
        <w:tc>
          <w:tcPr>
            <w:tcW w:w="8740" w:type="dxa"/>
            <w:vAlign w:val="bottom"/>
          </w:tcPr>
          <w:p>
            <w:pPr>
              <w:ind w:left="960"/>
              <w:spacing w:after="0"/>
              <w:rPr>
                <w:sz w:val="20"/>
                <w:szCs w:val="20"/>
                <w:color w:val="auto"/>
              </w:rPr>
            </w:pPr>
            <w:r>
              <w:rPr>
                <w:rFonts w:ascii="Calibri" w:cs="Calibri" w:eastAsia="Calibri" w:hAnsi="Calibri"/>
                <w:sz w:val="20"/>
                <w:szCs w:val="20"/>
                <w:color w:val="auto"/>
              </w:rPr>
              <w:t>Membership of the Scheme is subject to the Scheme Trust Deed and Rules. Benefts may be</w:t>
            </w:r>
          </w:p>
        </w:tc>
      </w:tr>
      <w:tr>
        <w:trPr>
          <w:trHeight w:val="243"/>
        </w:trPr>
        <w:tc>
          <w:tcPr>
            <w:tcW w:w="2500" w:type="dxa"/>
            <w:vAlign w:val="bottom"/>
          </w:tcPr>
          <w:p>
            <w:pPr>
              <w:spacing w:after="0"/>
              <w:rPr>
                <w:sz w:val="21"/>
                <w:szCs w:val="21"/>
                <w:color w:val="auto"/>
              </w:rPr>
            </w:pPr>
          </w:p>
        </w:tc>
        <w:tc>
          <w:tcPr>
            <w:tcW w:w="8740" w:type="dxa"/>
            <w:vAlign w:val="bottom"/>
          </w:tcPr>
          <w:p>
            <w:pPr>
              <w:ind w:left="960"/>
              <w:spacing w:after="0" w:line="243" w:lineRule="exact"/>
              <w:rPr>
                <w:sz w:val="20"/>
                <w:szCs w:val="20"/>
                <w:color w:val="auto"/>
              </w:rPr>
            </w:pPr>
            <w:r>
              <w:rPr>
                <w:rFonts w:ascii="Calibri" w:cs="Calibri" w:eastAsia="Calibri" w:hAnsi="Calibri"/>
                <w:sz w:val="20"/>
                <w:szCs w:val="20"/>
                <w:color w:val="auto"/>
              </w:rPr>
              <w:t>restricted by the limits set by the HMRC. The</w:t>
            </w:r>
          </w:p>
        </w:tc>
      </w:tr>
      <w:tr>
        <w:trPr>
          <w:trHeight w:val="256"/>
        </w:trPr>
        <w:tc>
          <w:tcPr>
            <w:tcW w:w="2500" w:type="dxa"/>
            <w:vAlign w:val="bottom"/>
          </w:tcPr>
          <w:p>
            <w:pPr>
              <w:jc w:val="right"/>
              <w:ind w:right="2301"/>
              <w:spacing w:after="0"/>
              <w:rPr>
                <w:sz w:val="20"/>
                <w:szCs w:val="20"/>
                <w:color w:val="auto"/>
              </w:rPr>
            </w:pPr>
            <w:r>
              <w:rPr>
                <w:rFonts w:ascii="Calibri" w:cs="Calibri" w:eastAsia="Calibri" w:hAnsi="Calibri"/>
                <w:sz w:val="20"/>
                <w:szCs w:val="20"/>
                <w:color w:val="auto"/>
                <w:w w:val="78"/>
              </w:rPr>
              <w:t>6</w:t>
            </w:r>
          </w:p>
        </w:tc>
        <w:tc>
          <w:tcPr>
            <w:tcW w:w="8740" w:type="dxa"/>
            <w:vAlign w:val="bottom"/>
          </w:tcPr>
          <w:p>
            <w:pPr>
              <w:spacing w:after="0"/>
              <w:rPr>
                <w:sz w:val="22"/>
                <w:szCs w:val="22"/>
                <w:color w:val="auto"/>
              </w:rPr>
            </w:pPr>
          </w:p>
        </w:tc>
      </w:tr>
      <w:tr>
        <w:trPr>
          <w:trHeight w:val="148"/>
        </w:trPr>
        <w:tc>
          <w:tcPr>
            <w:tcW w:w="2500" w:type="dxa"/>
            <w:vAlign w:val="bottom"/>
            <w:tcBorders>
              <w:bottom w:val="single" w:sz="8" w:color="9A9A9A"/>
            </w:tcBorders>
          </w:tcPr>
          <w:p>
            <w:pPr>
              <w:spacing w:after="0"/>
              <w:rPr>
                <w:sz w:val="12"/>
                <w:szCs w:val="12"/>
                <w:color w:val="auto"/>
              </w:rPr>
            </w:pPr>
          </w:p>
        </w:tc>
        <w:tc>
          <w:tcPr>
            <w:tcW w:w="874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9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44"/>
        </w:trPr>
        <w:tc>
          <w:tcPr>
            <w:tcW w:w="2980" w:type="dxa"/>
            <w:vAlign w:val="bottom"/>
          </w:tcPr>
          <w:p>
            <w:pPr>
              <w:spacing w:after="0"/>
              <w:rPr>
                <w:sz w:val="21"/>
                <w:szCs w:val="21"/>
                <w:color w:val="auto"/>
              </w:rPr>
            </w:pPr>
          </w:p>
        </w:tc>
        <w:tc>
          <w:tcPr>
            <w:tcW w:w="8260" w:type="dxa"/>
            <w:vAlign w:val="bottom"/>
            <w:gridSpan w:val="3"/>
          </w:tcPr>
          <w:p>
            <w:pPr>
              <w:ind w:left="480"/>
              <w:spacing w:after="0"/>
              <w:rPr>
                <w:sz w:val="20"/>
                <w:szCs w:val="20"/>
                <w:color w:val="auto"/>
              </w:rPr>
            </w:pPr>
            <w:r>
              <w:rPr>
                <w:rFonts w:ascii="Calibri" w:cs="Calibri" w:eastAsia="Calibri" w:hAnsi="Calibri"/>
                <w:sz w:val="20"/>
                <w:szCs w:val="20"/>
                <w:color w:val="auto"/>
              </w:rPr>
              <w:t>employment of Scheme members is covered by a Contractng-out certfcate.</w:t>
            </w:r>
          </w:p>
        </w:tc>
      </w:tr>
      <w:tr>
        <w:trPr>
          <w:trHeight w:val="512"/>
        </w:trPr>
        <w:tc>
          <w:tcPr>
            <w:tcW w:w="2980" w:type="dxa"/>
            <w:vAlign w:val="bottom"/>
          </w:tcPr>
          <w:p>
            <w:pPr>
              <w:ind w:left="100"/>
              <w:spacing w:after="0"/>
              <w:rPr>
                <w:sz w:val="20"/>
                <w:szCs w:val="20"/>
                <w:color w:val="auto"/>
              </w:rPr>
            </w:pPr>
            <w:r>
              <w:rPr>
                <w:rFonts w:ascii="Calibri" w:cs="Calibri" w:eastAsia="Calibri" w:hAnsi="Calibri"/>
                <w:sz w:val="20"/>
                <w:szCs w:val="20"/>
                <w:b w:val="1"/>
                <w:bCs w:val="1"/>
                <w:color w:val="auto"/>
              </w:rPr>
              <w:t>Absence from Work:</w:t>
            </w:r>
          </w:p>
        </w:tc>
        <w:tc>
          <w:tcPr>
            <w:tcW w:w="8260" w:type="dxa"/>
            <w:vAlign w:val="bottom"/>
            <w:gridSpan w:val="3"/>
          </w:tcPr>
          <w:p>
            <w:pPr>
              <w:ind w:left="480"/>
              <w:spacing w:after="0"/>
              <w:rPr>
                <w:sz w:val="20"/>
                <w:szCs w:val="20"/>
                <w:color w:val="auto"/>
              </w:rPr>
            </w:pPr>
            <w:r>
              <w:rPr>
                <w:rFonts w:ascii="Calibri" w:cs="Calibri" w:eastAsia="Calibri" w:hAnsi="Calibri"/>
                <w:sz w:val="20"/>
                <w:szCs w:val="20"/>
                <w:color w:val="auto"/>
              </w:rPr>
              <w:t>Your enttlement to payments whilst you are absent from work, and the procedure that you</w:t>
            </w:r>
          </w:p>
        </w:tc>
      </w:tr>
      <w:tr>
        <w:trPr>
          <w:trHeight w:val="243"/>
        </w:trPr>
        <w:tc>
          <w:tcPr>
            <w:tcW w:w="2980" w:type="dxa"/>
            <w:vAlign w:val="bottom"/>
          </w:tcPr>
          <w:p>
            <w:pPr>
              <w:spacing w:after="0"/>
              <w:rPr>
                <w:sz w:val="21"/>
                <w:szCs w:val="21"/>
                <w:color w:val="auto"/>
              </w:rPr>
            </w:pPr>
          </w:p>
        </w:tc>
        <w:tc>
          <w:tcPr>
            <w:tcW w:w="8260" w:type="dxa"/>
            <w:vAlign w:val="bottom"/>
            <w:gridSpan w:val="3"/>
          </w:tcPr>
          <w:p>
            <w:pPr>
              <w:ind w:left="480"/>
              <w:spacing w:after="0" w:line="243" w:lineRule="exact"/>
              <w:rPr>
                <w:sz w:val="20"/>
                <w:szCs w:val="20"/>
                <w:color w:val="auto"/>
              </w:rPr>
            </w:pPr>
            <w:r>
              <w:rPr>
                <w:rFonts w:ascii="Calibri" w:cs="Calibri" w:eastAsia="Calibri" w:hAnsi="Calibri"/>
                <w:sz w:val="20"/>
                <w:szCs w:val="20"/>
                <w:color w:val="auto"/>
              </w:rPr>
              <w:t>should follow if you are unable to atend the ofce for any reason are contained in the</w:t>
            </w:r>
          </w:p>
        </w:tc>
      </w:tr>
      <w:tr>
        <w:trPr>
          <w:trHeight w:val="243"/>
        </w:trPr>
        <w:tc>
          <w:tcPr>
            <w:tcW w:w="2980" w:type="dxa"/>
            <w:vAlign w:val="bottom"/>
          </w:tcPr>
          <w:p>
            <w:pPr>
              <w:spacing w:after="0"/>
              <w:rPr>
                <w:sz w:val="21"/>
                <w:szCs w:val="21"/>
                <w:color w:val="auto"/>
              </w:rPr>
            </w:pPr>
          </w:p>
        </w:tc>
        <w:tc>
          <w:tcPr>
            <w:tcW w:w="2540" w:type="dxa"/>
            <w:vAlign w:val="bottom"/>
          </w:tcPr>
          <w:p>
            <w:pPr>
              <w:ind w:left="480"/>
              <w:spacing w:after="0" w:line="243" w:lineRule="exact"/>
              <w:rPr>
                <w:sz w:val="20"/>
                <w:szCs w:val="20"/>
                <w:color w:val="auto"/>
              </w:rPr>
            </w:pPr>
            <w:r>
              <w:rPr>
                <w:rFonts w:ascii="Calibri" w:cs="Calibri" w:eastAsia="Calibri" w:hAnsi="Calibri"/>
                <w:sz w:val="20"/>
                <w:szCs w:val="20"/>
                <w:color w:val="auto"/>
              </w:rPr>
              <w:t>Associate Handbook.</w:t>
            </w:r>
          </w:p>
        </w:tc>
        <w:tc>
          <w:tcPr>
            <w:tcW w:w="1580" w:type="dxa"/>
            <w:vAlign w:val="bottom"/>
          </w:tcPr>
          <w:p>
            <w:pPr>
              <w:spacing w:after="0"/>
              <w:rPr>
                <w:sz w:val="21"/>
                <w:szCs w:val="21"/>
                <w:color w:val="auto"/>
              </w:rPr>
            </w:pPr>
          </w:p>
        </w:tc>
        <w:tc>
          <w:tcPr>
            <w:tcW w:w="4140" w:type="dxa"/>
            <w:vAlign w:val="bottom"/>
          </w:tcPr>
          <w:p>
            <w:pPr>
              <w:spacing w:after="0"/>
              <w:rPr>
                <w:sz w:val="21"/>
                <w:szCs w:val="21"/>
                <w:color w:val="auto"/>
              </w:rPr>
            </w:pPr>
          </w:p>
        </w:tc>
      </w:tr>
      <w:tr>
        <w:trPr>
          <w:trHeight w:val="512"/>
        </w:trPr>
        <w:tc>
          <w:tcPr>
            <w:tcW w:w="2980" w:type="dxa"/>
            <w:vAlign w:val="bottom"/>
          </w:tcPr>
          <w:p>
            <w:pPr>
              <w:ind w:left="100"/>
              <w:spacing w:after="0"/>
              <w:rPr>
                <w:sz w:val="20"/>
                <w:szCs w:val="20"/>
                <w:color w:val="auto"/>
              </w:rPr>
            </w:pPr>
            <w:r>
              <w:rPr>
                <w:rFonts w:ascii="Calibri" w:cs="Calibri" w:eastAsia="Calibri" w:hAnsi="Calibri"/>
                <w:sz w:val="20"/>
                <w:szCs w:val="20"/>
                <w:b w:val="1"/>
                <w:bCs w:val="1"/>
                <w:color w:val="auto"/>
              </w:rPr>
              <w:t>Right to Search:</w:t>
            </w:r>
          </w:p>
        </w:tc>
        <w:tc>
          <w:tcPr>
            <w:tcW w:w="8260" w:type="dxa"/>
            <w:vAlign w:val="bottom"/>
            <w:gridSpan w:val="3"/>
          </w:tcPr>
          <w:p>
            <w:pPr>
              <w:ind w:left="480"/>
              <w:spacing w:after="0"/>
              <w:rPr>
                <w:sz w:val="20"/>
                <w:szCs w:val="20"/>
                <w:color w:val="auto"/>
              </w:rPr>
            </w:pPr>
            <w:r>
              <w:rPr>
                <w:rFonts w:ascii="Calibri" w:cs="Calibri" w:eastAsia="Calibri" w:hAnsi="Calibri"/>
                <w:sz w:val="20"/>
                <w:szCs w:val="20"/>
                <w:color w:val="auto"/>
              </w:rPr>
              <w:t>In the interests of security the Company reserves the right at any tme to search you or your</w:t>
            </w:r>
          </w:p>
        </w:tc>
      </w:tr>
      <w:tr>
        <w:trPr>
          <w:trHeight w:val="243"/>
        </w:trPr>
        <w:tc>
          <w:tcPr>
            <w:tcW w:w="2980" w:type="dxa"/>
            <w:vAlign w:val="bottom"/>
          </w:tcPr>
          <w:p>
            <w:pPr>
              <w:spacing w:after="0"/>
              <w:rPr>
                <w:sz w:val="21"/>
                <w:szCs w:val="21"/>
                <w:color w:val="auto"/>
              </w:rPr>
            </w:pPr>
          </w:p>
        </w:tc>
        <w:tc>
          <w:tcPr>
            <w:tcW w:w="4120" w:type="dxa"/>
            <w:vAlign w:val="bottom"/>
            <w:gridSpan w:val="2"/>
          </w:tcPr>
          <w:p>
            <w:pPr>
              <w:ind w:left="480"/>
              <w:spacing w:after="0" w:line="243" w:lineRule="exact"/>
              <w:rPr>
                <w:sz w:val="20"/>
                <w:szCs w:val="20"/>
                <w:color w:val="auto"/>
              </w:rPr>
            </w:pPr>
            <w:r>
              <w:rPr>
                <w:rFonts w:ascii="Calibri" w:cs="Calibri" w:eastAsia="Calibri" w:hAnsi="Calibri"/>
                <w:sz w:val="20"/>
                <w:szCs w:val="20"/>
                <w:color w:val="auto"/>
              </w:rPr>
              <w:t>belongings including, without limitaton, the</w:t>
            </w:r>
          </w:p>
        </w:tc>
        <w:tc>
          <w:tcPr>
            <w:tcW w:w="4140" w:type="dxa"/>
            <w:vAlign w:val="bottom"/>
          </w:tcPr>
          <w:p>
            <w:pPr>
              <w:spacing w:after="0"/>
              <w:rPr>
                <w:sz w:val="21"/>
                <w:szCs w:val="21"/>
                <w:color w:val="auto"/>
              </w:rPr>
            </w:pPr>
          </w:p>
        </w:tc>
      </w:tr>
      <w:tr>
        <w:trPr>
          <w:trHeight w:val="243"/>
        </w:trPr>
        <w:tc>
          <w:tcPr>
            <w:tcW w:w="2980" w:type="dxa"/>
            <w:vAlign w:val="bottom"/>
          </w:tcPr>
          <w:p>
            <w:pPr>
              <w:spacing w:after="0"/>
              <w:rPr>
                <w:sz w:val="21"/>
                <w:szCs w:val="21"/>
                <w:color w:val="auto"/>
              </w:rPr>
            </w:pPr>
          </w:p>
        </w:tc>
        <w:tc>
          <w:tcPr>
            <w:tcW w:w="8260" w:type="dxa"/>
            <w:vAlign w:val="bottom"/>
            <w:gridSpan w:val="3"/>
          </w:tcPr>
          <w:p>
            <w:pPr>
              <w:ind w:left="480"/>
              <w:spacing w:after="0" w:line="243" w:lineRule="exact"/>
              <w:rPr>
                <w:sz w:val="20"/>
                <w:szCs w:val="20"/>
                <w:color w:val="auto"/>
              </w:rPr>
            </w:pPr>
            <w:r>
              <w:rPr>
                <w:rFonts w:ascii="Calibri" w:cs="Calibri" w:eastAsia="Calibri" w:hAnsi="Calibri"/>
                <w:sz w:val="20"/>
                <w:szCs w:val="20"/>
                <w:color w:val="auto"/>
              </w:rPr>
              <w:t>x-ray examinaton of any items brought on Company premises by you. Any personal search</w:t>
            </w:r>
          </w:p>
        </w:tc>
      </w:tr>
      <w:tr>
        <w:trPr>
          <w:trHeight w:val="243"/>
        </w:trPr>
        <w:tc>
          <w:tcPr>
            <w:tcW w:w="2980" w:type="dxa"/>
            <w:vAlign w:val="bottom"/>
          </w:tcPr>
          <w:p>
            <w:pPr>
              <w:spacing w:after="0"/>
              <w:rPr>
                <w:sz w:val="21"/>
                <w:szCs w:val="21"/>
                <w:color w:val="auto"/>
              </w:rPr>
            </w:pPr>
          </w:p>
        </w:tc>
        <w:tc>
          <w:tcPr>
            <w:tcW w:w="8260" w:type="dxa"/>
            <w:vAlign w:val="bottom"/>
            <w:gridSpan w:val="3"/>
          </w:tcPr>
          <w:p>
            <w:pPr>
              <w:ind w:left="480"/>
              <w:spacing w:after="0" w:line="243" w:lineRule="exact"/>
              <w:rPr>
                <w:sz w:val="20"/>
                <w:szCs w:val="20"/>
                <w:color w:val="auto"/>
              </w:rPr>
            </w:pPr>
            <w:r>
              <w:rPr>
                <w:rFonts w:ascii="Calibri" w:cs="Calibri" w:eastAsia="Calibri" w:hAnsi="Calibri"/>
                <w:sz w:val="20"/>
                <w:szCs w:val="20"/>
                <w:color w:val="auto"/>
              </w:rPr>
              <w:t>shall be carried out in private by an associate duly authorised from tme to tme by a Director</w:t>
            </w:r>
          </w:p>
        </w:tc>
      </w:tr>
      <w:tr>
        <w:trPr>
          <w:trHeight w:val="243"/>
        </w:trPr>
        <w:tc>
          <w:tcPr>
            <w:tcW w:w="2980" w:type="dxa"/>
            <w:vAlign w:val="bottom"/>
          </w:tcPr>
          <w:p>
            <w:pPr>
              <w:spacing w:after="0"/>
              <w:rPr>
                <w:sz w:val="21"/>
                <w:szCs w:val="21"/>
                <w:color w:val="auto"/>
              </w:rPr>
            </w:pPr>
          </w:p>
        </w:tc>
        <w:tc>
          <w:tcPr>
            <w:tcW w:w="8260" w:type="dxa"/>
            <w:vAlign w:val="bottom"/>
            <w:gridSpan w:val="3"/>
          </w:tcPr>
          <w:p>
            <w:pPr>
              <w:ind w:left="480"/>
              <w:spacing w:after="0" w:line="243" w:lineRule="exact"/>
              <w:rPr>
                <w:sz w:val="20"/>
                <w:szCs w:val="20"/>
                <w:color w:val="auto"/>
              </w:rPr>
            </w:pPr>
            <w:r>
              <w:rPr>
                <w:rFonts w:ascii="Calibri" w:cs="Calibri" w:eastAsia="Calibri" w:hAnsi="Calibri"/>
                <w:sz w:val="20"/>
                <w:szCs w:val="20"/>
                <w:color w:val="auto"/>
              </w:rPr>
              <w:t>or Manager to the Company to perform a personal search. Prior to the commencement of</w:t>
            </w:r>
          </w:p>
        </w:tc>
      </w:tr>
      <w:tr>
        <w:trPr>
          <w:trHeight w:val="243"/>
        </w:trPr>
        <w:tc>
          <w:tcPr>
            <w:tcW w:w="2980" w:type="dxa"/>
            <w:vAlign w:val="bottom"/>
          </w:tcPr>
          <w:p>
            <w:pPr>
              <w:spacing w:after="0"/>
              <w:rPr>
                <w:sz w:val="21"/>
                <w:szCs w:val="21"/>
                <w:color w:val="auto"/>
              </w:rPr>
            </w:pPr>
          </w:p>
        </w:tc>
        <w:tc>
          <w:tcPr>
            <w:tcW w:w="8260" w:type="dxa"/>
            <w:vAlign w:val="bottom"/>
            <w:gridSpan w:val="3"/>
          </w:tcPr>
          <w:p>
            <w:pPr>
              <w:ind w:left="480"/>
              <w:spacing w:after="0" w:line="243" w:lineRule="exact"/>
              <w:rPr>
                <w:sz w:val="20"/>
                <w:szCs w:val="20"/>
                <w:color w:val="auto"/>
              </w:rPr>
            </w:pPr>
            <w:r>
              <w:rPr>
                <w:rFonts w:ascii="Calibri" w:cs="Calibri" w:eastAsia="Calibri" w:hAnsi="Calibri"/>
                <w:sz w:val="20"/>
                <w:szCs w:val="20"/>
                <w:color w:val="auto"/>
              </w:rPr>
              <w:t>any personal search you may request to be searched in the presence of a work colleague, the</w:t>
            </w:r>
          </w:p>
        </w:tc>
      </w:tr>
      <w:tr>
        <w:trPr>
          <w:trHeight w:val="243"/>
        </w:trPr>
        <w:tc>
          <w:tcPr>
            <w:tcW w:w="2980" w:type="dxa"/>
            <w:vAlign w:val="bottom"/>
          </w:tcPr>
          <w:p>
            <w:pPr>
              <w:spacing w:after="0"/>
              <w:rPr>
                <w:sz w:val="21"/>
                <w:szCs w:val="21"/>
                <w:color w:val="auto"/>
              </w:rPr>
            </w:pPr>
          </w:p>
        </w:tc>
        <w:tc>
          <w:tcPr>
            <w:tcW w:w="8260" w:type="dxa"/>
            <w:vAlign w:val="bottom"/>
            <w:gridSpan w:val="3"/>
          </w:tcPr>
          <w:p>
            <w:pPr>
              <w:ind w:left="480"/>
              <w:spacing w:after="0" w:line="243" w:lineRule="exact"/>
              <w:rPr>
                <w:sz w:val="20"/>
                <w:szCs w:val="20"/>
                <w:color w:val="auto"/>
              </w:rPr>
            </w:pPr>
            <w:r>
              <w:rPr>
                <w:rFonts w:ascii="Calibri" w:cs="Calibri" w:eastAsia="Calibri" w:hAnsi="Calibri"/>
                <w:sz w:val="20"/>
                <w:szCs w:val="20"/>
                <w:color w:val="auto"/>
              </w:rPr>
              <w:t>Company may refuse such a request if in its opinion it is reasonable to do so.</w:t>
            </w:r>
          </w:p>
        </w:tc>
      </w:tr>
      <w:tr>
        <w:trPr>
          <w:trHeight w:val="512"/>
        </w:trPr>
        <w:tc>
          <w:tcPr>
            <w:tcW w:w="2980" w:type="dxa"/>
            <w:vAlign w:val="bottom"/>
          </w:tcPr>
          <w:p>
            <w:pPr>
              <w:ind w:left="100"/>
              <w:spacing w:after="0"/>
              <w:rPr>
                <w:sz w:val="20"/>
                <w:szCs w:val="20"/>
                <w:color w:val="auto"/>
              </w:rPr>
            </w:pPr>
            <w:r>
              <w:rPr>
                <w:rFonts w:ascii="Calibri" w:cs="Calibri" w:eastAsia="Calibri" w:hAnsi="Calibri"/>
                <w:sz w:val="20"/>
                <w:szCs w:val="20"/>
                <w:b w:val="1"/>
                <w:bCs w:val="1"/>
                <w:color w:val="auto"/>
              </w:rPr>
              <w:t>Medical Examinaton:</w:t>
            </w:r>
          </w:p>
        </w:tc>
        <w:tc>
          <w:tcPr>
            <w:tcW w:w="8260" w:type="dxa"/>
            <w:vAlign w:val="bottom"/>
            <w:gridSpan w:val="3"/>
          </w:tcPr>
          <w:p>
            <w:pPr>
              <w:ind w:left="480"/>
              <w:spacing w:after="0"/>
              <w:rPr>
                <w:sz w:val="20"/>
                <w:szCs w:val="20"/>
                <w:color w:val="auto"/>
              </w:rPr>
            </w:pPr>
            <w:r>
              <w:rPr>
                <w:rFonts w:ascii="Calibri" w:cs="Calibri" w:eastAsia="Calibri" w:hAnsi="Calibri"/>
                <w:sz w:val="20"/>
                <w:szCs w:val="20"/>
                <w:color w:val="auto"/>
              </w:rPr>
              <w:t>The Company reserves the right to require you at any tme to submit yourself for examinaton</w:t>
            </w:r>
          </w:p>
        </w:tc>
      </w:tr>
      <w:tr>
        <w:trPr>
          <w:trHeight w:val="243"/>
        </w:trPr>
        <w:tc>
          <w:tcPr>
            <w:tcW w:w="2980" w:type="dxa"/>
            <w:vAlign w:val="bottom"/>
          </w:tcPr>
          <w:p>
            <w:pPr>
              <w:spacing w:after="0"/>
              <w:rPr>
                <w:sz w:val="21"/>
                <w:szCs w:val="21"/>
                <w:color w:val="auto"/>
              </w:rPr>
            </w:pPr>
          </w:p>
        </w:tc>
        <w:tc>
          <w:tcPr>
            <w:tcW w:w="8260" w:type="dxa"/>
            <w:vAlign w:val="bottom"/>
            <w:gridSpan w:val="3"/>
          </w:tcPr>
          <w:p>
            <w:pPr>
              <w:ind w:left="480"/>
              <w:spacing w:after="0" w:line="243" w:lineRule="exact"/>
              <w:rPr>
                <w:sz w:val="20"/>
                <w:szCs w:val="20"/>
                <w:color w:val="auto"/>
              </w:rPr>
            </w:pPr>
            <w:r>
              <w:rPr>
                <w:rFonts w:ascii="Calibri" w:cs="Calibri" w:eastAsia="Calibri" w:hAnsi="Calibri"/>
                <w:sz w:val="20"/>
                <w:szCs w:val="20"/>
                <w:color w:val="auto"/>
              </w:rPr>
              <w:t>by a doctor appointed by the Company at the Company’s expense.</w:t>
            </w:r>
          </w:p>
        </w:tc>
      </w:tr>
      <w:tr>
        <w:trPr>
          <w:trHeight w:val="512"/>
        </w:trPr>
        <w:tc>
          <w:tcPr>
            <w:tcW w:w="2980" w:type="dxa"/>
            <w:vAlign w:val="bottom"/>
          </w:tcPr>
          <w:p>
            <w:pPr>
              <w:ind w:left="100"/>
              <w:spacing w:after="0"/>
              <w:rPr>
                <w:sz w:val="20"/>
                <w:szCs w:val="20"/>
                <w:color w:val="auto"/>
              </w:rPr>
            </w:pPr>
            <w:r>
              <w:rPr>
                <w:rFonts w:ascii="Calibri" w:cs="Calibri" w:eastAsia="Calibri" w:hAnsi="Calibri"/>
                <w:sz w:val="20"/>
                <w:szCs w:val="20"/>
                <w:b w:val="1"/>
                <w:bCs w:val="1"/>
                <w:color w:val="auto"/>
              </w:rPr>
              <w:t>Holidays:</w:t>
            </w:r>
          </w:p>
        </w:tc>
        <w:tc>
          <w:tcPr>
            <w:tcW w:w="2540" w:type="dxa"/>
            <w:vAlign w:val="bottom"/>
          </w:tcPr>
          <w:p>
            <w:pPr>
              <w:ind w:left="480"/>
              <w:spacing w:after="0"/>
              <w:rPr>
                <w:sz w:val="20"/>
                <w:szCs w:val="20"/>
                <w:color w:val="auto"/>
              </w:rPr>
            </w:pPr>
            <w:r>
              <w:rPr>
                <w:rFonts w:ascii="Calibri" w:cs="Calibri" w:eastAsia="Calibri" w:hAnsi="Calibri"/>
                <w:sz w:val="20"/>
                <w:szCs w:val="20"/>
                <w:b w:val="1"/>
                <w:bCs w:val="1"/>
                <w:color w:val="auto"/>
              </w:rPr>
              <w:t>Grade 1 – 8 inclusive</w:t>
            </w:r>
          </w:p>
        </w:tc>
        <w:tc>
          <w:tcPr>
            <w:tcW w:w="5720" w:type="dxa"/>
            <w:vAlign w:val="bottom"/>
            <w:gridSpan w:val="2"/>
          </w:tcPr>
          <w:p>
            <w:pPr>
              <w:ind w:left="160"/>
              <w:spacing w:after="0"/>
              <w:rPr>
                <w:sz w:val="20"/>
                <w:szCs w:val="20"/>
                <w:color w:val="auto"/>
              </w:rPr>
            </w:pPr>
            <w:r>
              <w:rPr>
                <w:rFonts w:ascii="Calibri" w:cs="Calibri" w:eastAsia="Calibri" w:hAnsi="Calibri"/>
                <w:sz w:val="20"/>
                <w:szCs w:val="20"/>
                <w:color w:val="auto"/>
              </w:rPr>
              <w:t>23 days per annum</w:t>
            </w:r>
          </w:p>
        </w:tc>
      </w:tr>
      <w:tr>
        <w:trPr>
          <w:trHeight w:val="485"/>
        </w:trPr>
        <w:tc>
          <w:tcPr>
            <w:tcW w:w="2980" w:type="dxa"/>
            <w:vAlign w:val="bottom"/>
          </w:tcPr>
          <w:p>
            <w:pPr>
              <w:spacing w:after="0"/>
              <w:rPr>
                <w:sz w:val="24"/>
                <w:szCs w:val="24"/>
                <w:color w:val="auto"/>
              </w:rPr>
            </w:pPr>
          </w:p>
        </w:tc>
        <w:tc>
          <w:tcPr>
            <w:tcW w:w="2540" w:type="dxa"/>
            <w:vAlign w:val="bottom"/>
          </w:tcPr>
          <w:p>
            <w:pPr>
              <w:ind w:left="480"/>
              <w:spacing w:after="0"/>
              <w:rPr>
                <w:sz w:val="20"/>
                <w:szCs w:val="20"/>
                <w:color w:val="auto"/>
              </w:rPr>
            </w:pPr>
            <w:r>
              <w:rPr>
                <w:rFonts w:ascii="Calibri" w:cs="Calibri" w:eastAsia="Calibri" w:hAnsi="Calibri"/>
                <w:sz w:val="20"/>
                <w:szCs w:val="20"/>
                <w:b w:val="1"/>
                <w:bCs w:val="1"/>
                <w:color w:val="auto"/>
              </w:rPr>
              <w:t>Grade 9 and above</w:t>
            </w:r>
          </w:p>
        </w:tc>
        <w:tc>
          <w:tcPr>
            <w:tcW w:w="5720" w:type="dxa"/>
            <w:vAlign w:val="bottom"/>
            <w:gridSpan w:val="2"/>
          </w:tcPr>
          <w:p>
            <w:pPr>
              <w:ind w:left="160"/>
              <w:spacing w:after="0"/>
              <w:rPr>
                <w:sz w:val="20"/>
                <w:szCs w:val="20"/>
                <w:color w:val="auto"/>
              </w:rPr>
            </w:pPr>
            <w:r>
              <w:rPr>
                <w:rFonts w:ascii="Calibri" w:cs="Calibri" w:eastAsia="Calibri" w:hAnsi="Calibri"/>
                <w:sz w:val="20"/>
                <w:szCs w:val="20"/>
                <w:color w:val="auto"/>
              </w:rPr>
              <w:t>25 days per annum</w:t>
            </w:r>
          </w:p>
        </w:tc>
      </w:tr>
      <w:tr>
        <w:trPr>
          <w:trHeight w:val="485"/>
        </w:trPr>
        <w:tc>
          <w:tcPr>
            <w:tcW w:w="2980" w:type="dxa"/>
            <w:vAlign w:val="bottom"/>
          </w:tcPr>
          <w:p>
            <w:pPr>
              <w:spacing w:after="0"/>
              <w:rPr>
                <w:sz w:val="24"/>
                <w:szCs w:val="24"/>
                <w:color w:val="auto"/>
              </w:rPr>
            </w:pPr>
          </w:p>
        </w:tc>
        <w:tc>
          <w:tcPr>
            <w:tcW w:w="8260" w:type="dxa"/>
            <w:vAlign w:val="bottom"/>
            <w:gridSpan w:val="3"/>
          </w:tcPr>
          <w:p>
            <w:pPr>
              <w:ind w:left="480"/>
              <w:spacing w:after="0"/>
              <w:rPr>
                <w:sz w:val="20"/>
                <w:szCs w:val="20"/>
                <w:color w:val="auto"/>
              </w:rPr>
            </w:pPr>
            <w:r>
              <w:rPr>
                <w:rFonts w:ascii="Calibri" w:cs="Calibri" w:eastAsia="Calibri" w:hAnsi="Calibri"/>
                <w:sz w:val="20"/>
                <w:szCs w:val="20"/>
                <w:color w:val="auto"/>
              </w:rPr>
              <w:t>The holiday year runs from 1 January to 31 December. Holiday enttlement increases by 1</w:t>
            </w:r>
          </w:p>
        </w:tc>
      </w:tr>
      <w:tr>
        <w:trPr>
          <w:trHeight w:val="243"/>
        </w:trPr>
        <w:tc>
          <w:tcPr>
            <w:tcW w:w="2980" w:type="dxa"/>
            <w:vAlign w:val="bottom"/>
          </w:tcPr>
          <w:p>
            <w:pPr>
              <w:spacing w:after="0"/>
              <w:rPr>
                <w:sz w:val="21"/>
                <w:szCs w:val="21"/>
                <w:color w:val="auto"/>
              </w:rPr>
            </w:pPr>
          </w:p>
        </w:tc>
        <w:tc>
          <w:tcPr>
            <w:tcW w:w="8260" w:type="dxa"/>
            <w:vAlign w:val="bottom"/>
            <w:gridSpan w:val="3"/>
          </w:tcPr>
          <w:p>
            <w:pPr>
              <w:ind w:left="480"/>
              <w:spacing w:after="0" w:line="243" w:lineRule="exact"/>
              <w:rPr>
                <w:sz w:val="20"/>
                <w:szCs w:val="20"/>
                <w:color w:val="auto"/>
              </w:rPr>
            </w:pPr>
            <w:r>
              <w:rPr>
                <w:rFonts w:ascii="Calibri" w:cs="Calibri" w:eastAsia="Calibri" w:hAnsi="Calibri"/>
                <w:sz w:val="20"/>
                <w:szCs w:val="20"/>
                <w:color w:val="auto"/>
              </w:rPr>
              <w:t>day for every year’s completed service at the previous 31 December up to a maximum of 25</w:t>
            </w:r>
          </w:p>
        </w:tc>
      </w:tr>
      <w:tr>
        <w:trPr>
          <w:trHeight w:val="243"/>
        </w:trPr>
        <w:tc>
          <w:tcPr>
            <w:tcW w:w="2980" w:type="dxa"/>
            <w:vAlign w:val="bottom"/>
          </w:tcPr>
          <w:p>
            <w:pPr>
              <w:spacing w:after="0"/>
              <w:rPr>
                <w:sz w:val="21"/>
                <w:szCs w:val="21"/>
                <w:color w:val="auto"/>
              </w:rPr>
            </w:pPr>
          </w:p>
        </w:tc>
        <w:tc>
          <w:tcPr>
            <w:tcW w:w="8260" w:type="dxa"/>
            <w:vAlign w:val="bottom"/>
            <w:gridSpan w:val="3"/>
          </w:tcPr>
          <w:p>
            <w:pPr>
              <w:ind w:left="480"/>
              <w:spacing w:after="0" w:line="243" w:lineRule="exact"/>
              <w:rPr>
                <w:sz w:val="20"/>
                <w:szCs w:val="20"/>
                <w:color w:val="auto"/>
              </w:rPr>
            </w:pPr>
            <w:r>
              <w:rPr>
                <w:rFonts w:ascii="Calibri" w:cs="Calibri" w:eastAsia="Calibri" w:hAnsi="Calibri"/>
                <w:sz w:val="20"/>
                <w:szCs w:val="20"/>
                <w:color w:val="auto"/>
              </w:rPr>
              <w:t>days. Please refer to the Associate Handbook for your pro rata enttlement in year of joining</w:t>
            </w:r>
          </w:p>
        </w:tc>
      </w:tr>
      <w:tr>
        <w:trPr>
          <w:trHeight w:val="243"/>
        </w:trPr>
        <w:tc>
          <w:tcPr>
            <w:tcW w:w="2980" w:type="dxa"/>
            <w:vAlign w:val="bottom"/>
          </w:tcPr>
          <w:p>
            <w:pPr>
              <w:spacing w:after="0"/>
              <w:rPr>
                <w:sz w:val="21"/>
                <w:szCs w:val="21"/>
                <w:color w:val="auto"/>
              </w:rPr>
            </w:pPr>
          </w:p>
        </w:tc>
        <w:tc>
          <w:tcPr>
            <w:tcW w:w="8260" w:type="dxa"/>
            <w:vAlign w:val="bottom"/>
            <w:gridSpan w:val="3"/>
          </w:tcPr>
          <w:p>
            <w:pPr>
              <w:ind w:left="480"/>
              <w:spacing w:after="0" w:line="243" w:lineRule="exact"/>
              <w:rPr>
                <w:sz w:val="20"/>
                <w:szCs w:val="20"/>
                <w:color w:val="auto"/>
              </w:rPr>
            </w:pPr>
            <w:r>
              <w:rPr>
                <w:rFonts w:ascii="Calibri" w:cs="Calibri" w:eastAsia="Calibri" w:hAnsi="Calibri"/>
                <w:sz w:val="20"/>
                <w:szCs w:val="20"/>
                <w:color w:val="auto"/>
              </w:rPr>
              <w:t>and of leaving. Payment will be made for Public Holidays.</w:t>
            </w:r>
          </w:p>
        </w:tc>
      </w:tr>
      <w:tr>
        <w:trPr>
          <w:trHeight w:val="485"/>
        </w:trPr>
        <w:tc>
          <w:tcPr>
            <w:tcW w:w="2980" w:type="dxa"/>
            <w:vAlign w:val="bottom"/>
          </w:tcPr>
          <w:p>
            <w:pPr>
              <w:spacing w:after="0"/>
              <w:rPr>
                <w:sz w:val="24"/>
                <w:szCs w:val="24"/>
                <w:color w:val="auto"/>
              </w:rPr>
            </w:pPr>
          </w:p>
        </w:tc>
        <w:tc>
          <w:tcPr>
            <w:tcW w:w="8260" w:type="dxa"/>
            <w:vAlign w:val="bottom"/>
            <w:gridSpan w:val="3"/>
          </w:tcPr>
          <w:p>
            <w:pPr>
              <w:ind w:left="480"/>
              <w:spacing w:after="0"/>
              <w:rPr>
                <w:sz w:val="20"/>
                <w:szCs w:val="20"/>
                <w:color w:val="auto"/>
              </w:rPr>
            </w:pPr>
            <w:r>
              <w:rPr>
                <w:rFonts w:ascii="Calibri" w:cs="Calibri" w:eastAsia="Calibri" w:hAnsi="Calibri"/>
                <w:sz w:val="20"/>
                <w:szCs w:val="20"/>
                <w:color w:val="auto"/>
              </w:rPr>
              <w:t>For part-tme staf, holiday enttlement and enttlement to payment for Public Holidays, is</w:t>
            </w:r>
          </w:p>
        </w:tc>
      </w:tr>
      <w:tr>
        <w:trPr>
          <w:trHeight w:val="243"/>
        </w:trPr>
        <w:tc>
          <w:tcPr>
            <w:tcW w:w="2980" w:type="dxa"/>
            <w:vAlign w:val="bottom"/>
          </w:tcPr>
          <w:p>
            <w:pPr>
              <w:spacing w:after="0"/>
              <w:rPr>
                <w:sz w:val="21"/>
                <w:szCs w:val="21"/>
                <w:color w:val="auto"/>
              </w:rPr>
            </w:pPr>
          </w:p>
        </w:tc>
        <w:tc>
          <w:tcPr>
            <w:tcW w:w="8260" w:type="dxa"/>
            <w:vAlign w:val="bottom"/>
            <w:gridSpan w:val="3"/>
          </w:tcPr>
          <w:p>
            <w:pPr>
              <w:ind w:left="480"/>
              <w:spacing w:after="0" w:line="243" w:lineRule="exact"/>
              <w:rPr>
                <w:sz w:val="20"/>
                <w:szCs w:val="20"/>
                <w:color w:val="auto"/>
              </w:rPr>
            </w:pPr>
            <w:r>
              <w:rPr>
                <w:rFonts w:ascii="Calibri" w:cs="Calibri" w:eastAsia="Calibri" w:hAnsi="Calibri"/>
                <w:sz w:val="20"/>
                <w:szCs w:val="20"/>
                <w:color w:val="auto"/>
              </w:rPr>
              <w:t>pro-rata, as outlined in the Associate Handbook.</w:t>
            </w:r>
          </w:p>
        </w:tc>
      </w:tr>
      <w:tr>
        <w:trPr>
          <w:trHeight w:val="512"/>
        </w:trPr>
        <w:tc>
          <w:tcPr>
            <w:tcW w:w="2980" w:type="dxa"/>
            <w:vAlign w:val="bottom"/>
          </w:tcPr>
          <w:p>
            <w:pPr>
              <w:ind w:left="100"/>
              <w:spacing w:after="0"/>
              <w:rPr>
                <w:sz w:val="20"/>
                <w:szCs w:val="20"/>
                <w:color w:val="auto"/>
              </w:rPr>
            </w:pPr>
            <w:r>
              <w:rPr>
                <w:rFonts w:ascii="Calibri" w:cs="Calibri" w:eastAsia="Calibri" w:hAnsi="Calibri"/>
                <w:sz w:val="20"/>
                <w:szCs w:val="20"/>
                <w:b w:val="1"/>
                <w:bCs w:val="1"/>
                <w:color w:val="auto"/>
              </w:rPr>
              <w:t>Employee Benefts:</w:t>
            </w:r>
          </w:p>
        </w:tc>
        <w:tc>
          <w:tcPr>
            <w:tcW w:w="8260" w:type="dxa"/>
            <w:vAlign w:val="bottom"/>
            <w:gridSpan w:val="3"/>
          </w:tcPr>
          <w:p>
            <w:pPr>
              <w:ind w:left="480"/>
              <w:spacing w:after="0"/>
              <w:rPr>
                <w:sz w:val="20"/>
                <w:szCs w:val="20"/>
                <w:color w:val="auto"/>
              </w:rPr>
            </w:pPr>
            <w:r>
              <w:rPr>
                <w:rFonts w:ascii="Calibri" w:cs="Calibri" w:eastAsia="Calibri" w:hAnsi="Calibri"/>
                <w:sz w:val="20"/>
                <w:szCs w:val="20"/>
                <w:color w:val="auto"/>
              </w:rPr>
              <w:t>The Details and eligibility rules of Employee Benefts to which you may be enttled are</w:t>
            </w:r>
          </w:p>
        </w:tc>
      </w:tr>
      <w:tr>
        <w:trPr>
          <w:trHeight w:val="243"/>
        </w:trPr>
        <w:tc>
          <w:tcPr>
            <w:tcW w:w="2980" w:type="dxa"/>
            <w:vAlign w:val="bottom"/>
          </w:tcPr>
          <w:p>
            <w:pPr>
              <w:spacing w:after="0"/>
              <w:rPr>
                <w:sz w:val="21"/>
                <w:szCs w:val="21"/>
                <w:color w:val="auto"/>
              </w:rPr>
            </w:pPr>
          </w:p>
        </w:tc>
        <w:tc>
          <w:tcPr>
            <w:tcW w:w="4120" w:type="dxa"/>
            <w:vAlign w:val="bottom"/>
            <w:gridSpan w:val="2"/>
          </w:tcPr>
          <w:p>
            <w:pPr>
              <w:ind w:left="480"/>
              <w:spacing w:after="0" w:line="243" w:lineRule="exact"/>
              <w:rPr>
                <w:sz w:val="20"/>
                <w:szCs w:val="20"/>
                <w:color w:val="auto"/>
              </w:rPr>
            </w:pPr>
            <w:r>
              <w:rPr>
                <w:rFonts w:ascii="Calibri" w:cs="Calibri" w:eastAsia="Calibri" w:hAnsi="Calibri"/>
                <w:sz w:val="20"/>
                <w:szCs w:val="20"/>
                <w:color w:val="auto"/>
              </w:rPr>
              <w:t>contained in the Associate Handbook.</w:t>
            </w:r>
          </w:p>
        </w:tc>
        <w:tc>
          <w:tcPr>
            <w:tcW w:w="4140" w:type="dxa"/>
            <w:vAlign w:val="bottom"/>
          </w:tcPr>
          <w:p>
            <w:pPr>
              <w:spacing w:after="0"/>
              <w:rPr>
                <w:sz w:val="21"/>
                <w:szCs w:val="21"/>
                <w:color w:val="auto"/>
              </w:rPr>
            </w:pPr>
          </w:p>
        </w:tc>
      </w:tr>
      <w:tr>
        <w:trPr>
          <w:trHeight w:val="538"/>
        </w:trPr>
        <w:tc>
          <w:tcPr>
            <w:tcW w:w="2980" w:type="dxa"/>
            <w:vAlign w:val="bottom"/>
          </w:tcPr>
          <w:p>
            <w:pPr>
              <w:ind w:left="100"/>
              <w:spacing w:after="0"/>
              <w:rPr>
                <w:sz w:val="20"/>
                <w:szCs w:val="20"/>
                <w:color w:val="auto"/>
              </w:rPr>
            </w:pPr>
            <w:r>
              <w:rPr>
                <w:rFonts w:ascii="Calibri" w:cs="Calibri" w:eastAsia="Calibri" w:hAnsi="Calibri"/>
                <w:sz w:val="20"/>
                <w:szCs w:val="20"/>
                <w:b w:val="1"/>
                <w:bCs w:val="1"/>
                <w:color w:val="auto"/>
              </w:rPr>
              <w:t>Terminaton of Employment:</w:t>
            </w:r>
          </w:p>
        </w:tc>
        <w:tc>
          <w:tcPr>
            <w:tcW w:w="826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 xml:space="preserve">a) </w:t>
            </w:r>
            <w:r>
              <w:rPr>
                <w:rFonts w:ascii="Calibri" w:cs="Calibri" w:eastAsia="Calibri" w:hAnsi="Calibri"/>
                <w:sz w:val="20"/>
                <w:szCs w:val="20"/>
                <w:color w:val="auto"/>
              </w:rPr>
              <w:t>You may terminate your employment by giving writen notce aa follows:</w:t>
            </w:r>
          </w:p>
        </w:tc>
      </w:tr>
      <w:tr>
        <w:trPr>
          <w:trHeight w:val="473"/>
        </w:trPr>
        <w:tc>
          <w:tcPr>
            <w:tcW w:w="2980" w:type="dxa"/>
            <w:vAlign w:val="bottom"/>
          </w:tcPr>
          <w:p>
            <w:pPr>
              <w:spacing w:after="0"/>
              <w:rPr>
                <w:sz w:val="24"/>
                <w:szCs w:val="24"/>
                <w:color w:val="auto"/>
              </w:rPr>
            </w:pPr>
          </w:p>
        </w:tc>
        <w:tc>
          <w:tcPr>
            <w:tcW w:w="2540" w:type="dxa"/>
            <w:vAlign w:val="bottom"/>
          </w:tcPr>
          <w:p>
            <w:pPr>
              <w:ind w:left="480"/>
              <w:spacing w:after="0"/>
              <w:rPr>
                <w:sz w:val="20"/>
                <w:szCs w:val="20"/>
                <w:color w:val="auto"/>
              </w:rPr>
            </w:pPr>
            <w:r>
              <w:rPr>
                <w:rFonts w:ascii="Calibri" w:cs="Calibri" w:eastAsia="Calibri" w:hAnsi="Calibri"/>
                <w:sz w:val="20"/>
                <w:szCs w:val="20"/>
                <w:b w:val="1"/>
                <w:bCs w:val="1"/>
                <w:color w:val="auto"/>
              </w:rPr>
              <w:t>Grades 1-8 inclusive</w:t>
            </w:r>
          </w:p>
        </w:tc>
        <w:tc>
          <w:tcPr>
            <w:tcW w:w="158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485"/>
        </w:trPr>
        <w:tc>
          <w:tcPr>
            <w:tcW w:w="2980" w:type="dxa"/>
            <w:vAlign w:val="bottom"/>
          </w:tcPr>
          <w:p>
            <w:pPr>
              <w:spacing w:after="0"/>
              <w:rPr>
                <w:sz w:val="24"/>
                <w:szCs w:val="24"/>
                <w:color w:val="auto"/>
              </w:rPr>
            </w:pPr>
          </w:p>
        </w:tc>
        <w:tc>
          <w:tcPr>
            <w:tcW w:w="4120" w:type="dxa"/>
            <w:vAlign w:val="bottom"/>
            <w:gridSpan w:val="2"/>
          </w:tcPr>
          <w:p>
            <w:pPr>
              <w:ind w:left="480"/>
              <w:spacing w:after="0"/>
              <w:rPr>
                <w:sz w:val="20"/>
                <w:szCs w:val="20"/>
                <w:color w:val="auto"/>
              </w:rPr>
            </w:pPr>
            <w:r>
              <w:rPr>
                <w:rFonts w:ascii="Calibri" w:cs="Calibri" w:eastAsia="Calibri" w:hAnsi="Calibri"/>
                <w:sz w:val="20"/>
                <w:szCs w:val="20"/>
                <w:color w:val="auto"/>
              </w:rPr>
              <w:t>Up to 4 weeks contnuous service</w:t>
            </w:r>
          </w:p>
        </w:tc>
        <w:tc>
          <w:tcPr>
            <w:tcW w:w="4140" w:type="dxa"/>
            <w:vAlign w:val="bottom"/>
          </w:tcPr>
          <w:p>
            <w:pPr>
              <w:ind w:left="20"/>
              <w:spacing w:after="0"/>
              <w:rPr>
                <w:sz w:val="20"/>
                <w:szCs w:val="20"/>
                <w:color w:val="auto"/>
              </w:rPr>
            </w:pPr>
            <w:r>
              <w:rPr>
                <w:rFonts w:ascii="Calibri" w:cs="Calibri" w:eastAsia="Calibri" w:hAnsi="Calibri"/>
                <w:sz w:val="20"/>
                <w:szCs w:val="20"/>
                <w:color w:val="auto"/>
              </w:rPr>
              <w:t>- 1 week</w:t>
            </w:r>
          </w:p>
        </w:tc>
      </w:tr>
      <w:tr>
        <w:trPr>
          <w:trHeight w:val="243"/>
        </w:trPr>
        <w:tc>
          <w:tcPr>
            <w:tcW w:w="2980" w:type="dxa"/>
            <w:vAlign w:val="bottom"/>
          </w:tcPr>
          <w:p>
            <w:pPr>
              <w:spacing w:after="0"/>
              <w:rPr>
                <w:sz w:val="21"/>
                <w:szCs w:val="21"/>
                <w:color w:val="auto"/>
              </w:rPr>
            </w:pPr>
          </w:p>
        </w:tc>
        <w:tc>
          <w:tcPr>
            <w:tcW w:w="4120" w:type="dxa"/>
            <w:vAlign w:val="bottom"/>
            <w:gridSpan w:val="2"/>
          </w:tcPr>
          <w:p>
            <w:pPr>
              <w:ind w:left="480"/>
              <w:spacing w:after="0" w:line="243" w:lineRule="exact"/>
              <w:rPr>
                <w:sz w:val="20"/>
                <w:szCs w:val="20"/>
                <w:color w:val="auto"/>
              </w:rPr>
            </w:pPr>
            <w:r>
              <w:rPr>
                <w:rFonts w:ascii="Calibri" w:cs="Calibri" w:eastAsia="Calibri" w:hAnsi="Calibri"/>
                <w:sz w:val="20"/>
                <w:szCs w:val="20"/>
                <w:color w:val="auto"/>
              </w:rPr>
              <w:t>Over 4 weeks contnuous service</w:t>
            </w:r>
          </w:p>
        </w:tc>
        <w:tc>
          <w:tcPr>
            <w:tcW w:w="4140" w:type="dxa"/>
            <w:vAlign w:val="bottom"/>
          </w:tcPr>
          <w:p>
            <w:pPr>
              <w:spacing w:after="0" w:line="243" w:lineRule="exact"/>
              <w:rPr>
                <w:sz w:val="20"/>
                <w:szCs w:val="20"/>
                <w:color w:val="auto"/>
              </w:rPr>
            </w:pPr>
            <w:r>
              <w:rPr>
                <w:rFonts w:ascii="Calibri" w:cs="Calibri" w:eastAsia="Calibri" w:hAnsi="Calibri"/>
                <w:sz w:val="20"/>
                <w:szCs w:val="20"/>
                <w:color w:val="auto"/>
              </w:rPr>
              <w:t>- 4 weeks</w:t>
            </w:r>
          </w:p>
        </w:tc>
      </w:tr>
      <w:tr>
        <w:trPr>
          <w:trHeight w:val="485"/>
        </w:trPr>
        <w:tc>
          <w:tcPr>
            <w:tcW w:w="2980" w:type="dxa"/>
            <w:vAlign w:val="bottom"/>
          </w:tcPr>
          <w:p>
            <w:pPr>
              <w:spacing w:after="0"/>
              <w:rPr>
                <w:sz w:val="24"/>
                <w:szCs w:val="24"/>
                <w:color w:val="auto"/>
              </w:rPr>
            </w:pPr>
          </w:p>
        </w:tc>
        <w:tc>
          <w:tcPr>
            <w:tcW w:w="2540" w:type="dxa"/>
            <w:vAlign w:val="bottom"/>
          </w:tcPr>
          <w:p>
            <w:pPr>
              <w:ind w:left="480"/>
              <w:spacing w:after="0"/>
              <w:rPr>
                <w:sz w:val="20"/>
                <w:szCs w:val="20"/>
                <w:color w:val="auto"/>
              </w:rPr>
            </w:pPr>
            <w:r>
              <w:rPr>
                <w:rFonts w:ascii="Calibri" w:cs="Calibri" w:eastAsia="Calibri" w:hAnsi="Calibri"/>
                <w:sz w:val="20"/>
                <w:szCs w:val="20"/>
                <w:b w:val="1"/>
                <w:bCs w:val="1"/>
                <w:color w:val="auto"/>
              </w:rPr>
              <w:t>Grades 9 – 11 inclusive</w:t>
            </w:r>
          </w:p>
        </w:tc>
        <w:tc>
          <w:tcPr>
            <w:tcW w:w="1580" w:type="dxa"/>
            <w:vAlign w:val="bottom"/>
          </w:tcPr>
          <w:p>
            <w:pPr>
              <w:spacing w:after="0"/>
              <w:rPr>
                <w:sz w:val="24"/>
                <w:szCs w:val="24"/>
                <w:color w:val="auto"/>
              </w:rPr>
            </w:pPr>
          </w:p>
        </w:tc>
        <w:tc>
          <w:tcPr>
            <w:tcW w:w="4140" w:type="dxa"/>
            <w:vAlign w:val="bottom"/>
          </w:tcPr>
          <w:p>
            <w:pPr>
              <w:ind w:left="60"/>
              <w:spacing w:after="0"/>
              <w:rPr>
                <w:sz w:val="20"/>
                <w:szCs w:val="20"/>
                <w:color w:val="auto"/>
              </w:rPr>
            </w:pPr>
            <w:r>
              <w:rPr>
                <w:rFonts w:ascii="Calibri" w:cs="Calibri" w:eastAsia="Calibri" w:hAnsi="Calibri"/>
                <w:sz w:val="20"/>
                <w:szCs w:val="20"/>
                <w:color w:val="auto"/>
              </w:rPr>
              <w:t>- 3 months</w:t>
            </w:r>
          </w:p>
        </w:tc>
      </w:tr>
      <w:tr>
        <w:trPr>
          <w:trHeight w:val="485"/>
        </w:trPr>
        <w:tc>
          <w:tcPr>
            <w:tcW w:w="2980" w:type="dxa"/>
            <w:vAlign w:val="bottom"/>
          </w:tcPr>
          <w:p>
            <w:pPr>
              <w:spacing w:after="0"/>
              <w:rPr>
                <w:sz w:val="24"/>
                <w:szCs w:val="24"/>
                <w:color w:val="auto"/>
              </w:rPr>
            </w:pPr>
          </w:p>
        </w:tc>
        <w:tc>
          <w:tcPr>
            <w:tcW w:w="2540" w:type="dxa"/>
            <w:vAlign w:val="bottom"/>
          </w:tcPr>
          <w:p>
            <w:pPr>
              <w:ind w:left="480"/>
              <w:spacing w:after="0"/>
              <w:rPr>
                <w:sz w:val="20"/>
                <w:szCs w:val="20"/>
                <w:color w:val="auto"/>
              </w:rPr>
            </w:pPr>
            <w:r>
              <w:rPr>
                <w:rFonts w:ascii="Calibri" w:cs="Calibri" w:eastAsia="Calibri" w:hAnsi="Calibri"/>
                <w:sz w:val="20"/>
                <w:szCs w:val="20"/>
                <w:b w:val="1"/>
                <w:bCs w:val="1"/>
                <w:color w:val="auto"/>
              </w:rPr>
              <w:t>Grades 12 and above</w:t>
            </w:r>
          </w:p>
        </w:tc>
        <w:tc>
          <w:tcPr>
            <w:tcW w:w="1580" w:type="dxa"/>
            <w:vAlign w:val="bottom"/>
          </w:tcPr>
          <w:p>
            <w:pPr>
              <w:spacing w:after="0"/>
              <w:rPr>
                <w:sz w:val="24"/>
                <w:szCs w:val="24"/>
                <w:color w:val="auto"/>
              </w:rPr>
            </w:pPr>
          </w:p>
        </w:tc>
        <w:tc>
          <w:tcPr>
            <w:tcW w:w="4140" w:type="dxa"/>
            <w:vAlign w:val="bottom"/>
          </w:tcPr>
          <w:p>
            <w:pPr>
              <w:ind w:left="40"/>
              <w:spacing w:after="0"/>
              <w:rPr>
                <w:sz w:val="20"/>
                <w:szCs w:val="20"/>
                <w:color w:val="auto"/>
              </w:rPr>
            </w:pPr>
            <w:r>
              <w:rPr>
                <w:rFonts w:ascii="Calibri" w:cs="Calibri" w:eastAsia="Calibri" w:hAnsi="Calibri"/>
                <w:sz w:val="20"/>
                <w:szCs w:val="20"/>
                <w:color w:val="auto"/>
              </w:rPr>
              <w:t>- 12 months</w:t>
            </w:r>
          </w:p>
        </w:tc>
      </w:tr>
      <w:tr>
        <w:trPr>
          <w:trHeight w:val="256"/>
        </w:trPr>
        <w:tc>
          <w:tcPr>
            <w:tcW w:w="2980" w:type="dxa"/>
            <w:vAlign w:val="bottom"/>
          </w:tcPr>
          <w:p>
            <w:pPr>
              <w:spacing w:after="0"/>
              <w:rPr>
                <w:sz w:val="20"/>
                <w:szCs w:val="20"/>
                <w:color w:val="auto"/>
              </w:rPr>
            </w:pPr>
            <w:r>
              <w:rPr>
                <w:rFonts w:ascii="Calibri" w:cs="Calibri" w:eastAsia="Calibri" w:hAnsi="Calibri"/>
                <w:sz w:val="20"/>
                <w:szCs w:val="20"/>
                <w:color w:val="auto"/>
              </w:rPr>
              <w:t>7</w:t>
            </w:r>
          </w:p>
        </w:tc>
        <w:tc>
          <w:tcPr>
            <w:tcW w:w="25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4140" w:type="dxa"/>
            <w:vAlign w:val="bottom"/>
          </w:tcPr>
          <w:p>
            <w:pPr>
              <w:spacing w:after="0"/>
              <w:rPr>
                <w:sz w:val="22"/>
                <w:szCs w:val="22"/>
                <w:color w:val="auto"/>
              </w:rPr>
            </w:pPr>
          </w:p>
        </w:tc>
      </w:tr>
      <w:tr>
        <w:trPr>
          <w:trHeight w:val="148"/>
        </w:trPr>
        <w:tc>
          <w:tcPr>
            <w:tcW w:w="2980" w:type="dxa"/>
            <w:vAlign w:val="bottom"/>
            <w:tcBorders>
              <w:bottom w:val="single" w:sz="8" w:color="9A9A9A"/>
            </w:tcBorders>
          </w:tcPr>
          <w:p>
            <w:pPr>
              <w:spacing w:after="0"/>
              <w:rPr>
                <w:sz w:val="12"/>
                <w:szCs w:val="12"/>
                <w:color w:val="auto"/>
              </w:rPr>
            </w:pPr>
          </w:p>
        </w:tc>
        <w:tc>
          <w:tcPr>
            <w:tcW w:w="25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414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9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4" w:name="page145"/>
    <w:bookmarkEnd w:id="144"/>
    <w:p>
      <w:pPr>
        <w:ind w:left="3720" w:hanging="258"/>
        <w:spacing w:after="0"/>
        <w:tabs>
          <w:tab w:leader="none" w:pos="3720" w:val="left"/>
        </w:tabs>
        <w:numPr>
          <w:ilvl w:val="0"/>
          <w:numId w:val="63"/>
        </w:numPr>
        <w:rPr>
          <w:rFonts w:ascii="Times New Roman" w:cs="Times New Roman" w:eastAsia="Times New Roman" w:hAnsi="Times New Roman"/>
          <w:sz w:val="20"/>
          <w:szCs w:val="20"/>
          <w:color w:val="auto"/>
        </w:rPr>
      </w:pPr>
      <w:r>
        <w:rPr>
          <w:rFonts w:ascii="Calibri" w:cs="Calibri" w:eastAsia="Calibri" w:hAnsi="Calibri"/>
          <w:sz w:val="20"/>
          <w:szCs w:val="20"/>
          <w:color w:val="auto"/>
        </w:rPr>
        <w:t>If your employment is terminated by the Company you will receive writen notce as follows:</w:t>
      </w:r>
    </w:p>
    <w:p>
      <w:pPr>
        <w:spacing w:after="0" w:line="200" w:lineRule="exact"/>
        <w:rPr>
          <w:sz w:val="20"/>
          <w:szCs w:val="20"/>
          <w:color w:val="auto"/>
        </w:rPr>
      </w:pPr>
    </w:p>
    <w:p>
      <w:pPr>
        <w:spacing w:after="0" w:line="274" w:lineRule="exact"/>
        <w:rPr>
          <w:sz w:val="20"/>
          <w:szCs w:val="20"/>
          <w:color w:val="auto"/>
        </w:rPr>
      </w:pPr>
    </w:p>
    <w:p>
      <w:pPr>
        <w:ind w:left="3460"/>
        <w:spacing w:after="0"/>
        <w:rPr>
          <w:sz w:val="20"/>
          <w:szCs w:val="20"/>
          <w:color w:val="auto"/>
        </w:rPr>
      </w:pPr>
      <w:r>
        <w:rPr>
          <w:rFonts w:ascii="Calibri" w:cs="Calibri" w:eastAsia="Calibri" w:hAnsi="Calibri"/>
          <w:sz w:val="20"/>
          <w:szCs w:val="20"/>
          <w:b w:val="1"/>
          <w:bCs w:val="1"/>
          <w:color w:val="auto"/>
        </w:rPr>
        <w:t>Grades 1 – 8 inclusive</w:t>
      </w:r>
    </w:p>
    <w:p>
      <w:pPr>
        <w:sectPr>
          <w:pgSz w:w="11900" w:h="16838" w:orient="portrait"/>
          <w:cols w:equalWidth="0" w:num="1">
            <w:col w:w="11140"/>
          </w:cols>
          <w:pgMar w:left="320" w:top="628" w:right="439" w:bottom="1440" w:gutter="0" w:footer="0" w:header="0"/>
        </w:sectPr>
      </w:pPr>
    </w:p>
    <w:p>
      <w:pPr>
        <w:spacing w:after="0" w:line="241" w:lineRule="exact"/>
        <w:rPr>
          <w:sz w:val="20"/>
          <w:szCs w:val="20"/>
          <w:color w:val="auto"/>
        </w:rPr>
      </w:pPr>
    </w:p>
    <w:p>
      <w:pPr>
        <w:ind w:left="3460"/>
        <w:spacing w:after="0"/>
        <w:rPr>
          <w:sz w:val="20"/>
          <w:szCs w:val="20"/>
          <w:color w:val="auto"/>
        </w:rPr>
      </w:pPr>
      <w:r>
        <w:rPr>
          <w:rFonts w:ascii="Calibri" w:cs="Calibri" w:eastAsia="Calibri" w:hAnsi="Calibri"/>
          <w:sz w:val="20"/>
          <w:szCs w:val="20"/>
          <w:color w:val="auto"/>
        </w:rPr>
        <w:t>Up to 4 weeks contnuous service</w:t>
      </w:r>
    </w:p>
    <w:p>
      <w:pPr>
        <w:ind w:left="3460"/>
        <w:spacing w:after="0" w:line="238" w:lineRule="auto"/>
        <w:rPr>
          <w:sz w:val="20"/>
          <w:szCs w:val="20"/>
          <w:color w:val="auto"/>
        </w:rPr>
      </w:pPr>
      <w:r>
        <w:rPr>
          <w:rFonts w:ascii="Calibri" w:cs="Calibri" w:eastAsia="Calibri" w:hAnsi="Calibri"/>
          <w:sz w:val="20"/>
          <w:szCs w:val="20"/>
          <w:color w:val="auto"/>
        </w:rPr>
        <w:t>Up to 4 years contnuous service</w:t>
      </w:r>
    </w:p>
    <w:p>
      <w:pPr>
        <w:ind w:left="3460"/>
        <w:spacing w:after="0"/>
        <w:rPr>
          <w:sz w:val="20"/>
          <w:szCs w:val="20"/>
          <w:color w:val="auto"/>
        </w:rPr>
      </w:pPr>
      <w:r>
        <w:rPr>
          <w:rFonts w:ascii="Calibri" w:cs="Calibri" w:eastAsia="Calibri" w:hAnsi="Calibri"/>
          <w:sz w:val="20"/>
          <w:szCs w:val="20"/>
          <w:color w:val="auto"/>
        </w:rPr>
        <w:t>From 5 to 12 years contnuous service</w:t>
      </w:r>
    </w:p>
    <w:p>
      <w:pPr>
        <w:spacing w:after="0" w:line="240" w:lineRule="exact"/>
        <w:rPr>
          <w:sz w:val="20"/>
          <w:szCs w:val="20"/>
          <w:color w:val="auto"/>
        </w:rPr>
      </w:pPr>
    </w:p>
    <w:p>
      <w:pPr>
        <w:ind w:left="3460"/>
        <w:spacing w:after="0"/>
        <w:rPr>
          <w:sz w:val="20"/>
          <w:szCs w:val="20"/>
          <w:color w:val="auto"/>
        </w:rPr>
      </w:pPr>
      <w:r>
        <w:rPr>
          <w:rFonts w:ascii="Calibri" w:cs="Calibri" w:eastAsia="Calibri" w:hAnsi="Calibri"/>
          <w:sz w:val="20"/>
          <w:szCs w:val="20"/>
          <w:b w:val="1"/>
          <w:bCs w:val="1"/>
          <w:color w:val="auto"/>
        </w:rPr>
        <w:t>Over 12 years contnuous service</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- 1 week</w:t>
      </w:r>
    </w:p>
    <w:p>
      <w:pPr>
        <w:ind w:left="20"/>
        <w:spacing w:after="0" w:line="238" w:lineRule="auto"/>
        <w:rPr>
          <w:sz w:val="20"/>
          <w:szCs w:val="20"/>
          <w:color w:val="auto"/>
        </w:rPr>
      </w:pPr>
      <w:r>
        <w:rPr>
          <w:rFonts w:ascii="Calibri" w:cs="Calibri" w:eastAsia="Calibri" w:hAnsi="Calibri"/>
          <w:sz w:val="20"/>
          <w:szCs w:val="20"/>
          <w:color w:val="auto"/>
        </w:rPr>
        <w:t>- 4 weeks</w:t>
      </w:r>
    </w:p>
    <w:p>
      <w:pPr>
        <w:spacing w:after="0"/>
        <w:rPr>
          <w:sz w:val="20"/>
          <w:szCs w:val="20"/>
          <w:color w:val="auto"/>
        </w:rPr>
      </w:pPr>
      <w:r>
        <w:rPr>
          <w:rFonts w:ascii="Calibri" w:cs="Calibri" w:eastAsia="Calibri" w:hAnsi="Calibri"/>
          <w:sz w:val="20"/>
          <w:szCs w:val="20"/>
          <w:color w:val="auto"/>
        </w:rPr>
        <w:t>- 1 week for each year of</w:t>
      </w:r>
    </w:p>
    <w:p>
      <w:pPr>
        <w:ind w:left="160"/>
        <w:spacing w:after="0" w:line="237" w:lineRule="auto"/>
        <w:rPr>
          <w:sz w:val="20"/>
          <w:szCs w:val="20"/>
          <w:color w:val="auto"/>
        </w:rPr>
      </w:pPr>
      <w:r>
        <w:rPr>
          <w:rFonts w:ascii="Calibri" w:cs="Calibri" w:eastAsia="Calibri" w:hAnsi="Calibri"/>
          <w:sz w:val="20"/>
          <w:szCs w:val="20"/>
          <w:color w:val="auto"/>
        </w:rPr>
        <w:t>completed service</w:t>
      </w:r>
    </w:p>
    <w:p>
      <w:pPr>
        <w:ind w:left="80"/>
        <w:spacing w:after="0"/>
        <w:rPr>
          <w:sz w:val="20"/>
          <w:szCs w:val="20"/>
          <w:color w:val="auto"/>
        </w:rPr>
      </w:pPr>
      <w:r>
        <w:rPr>
          <w:rFonts w:ascii="Calibri" w:cs="Calibri" w:eastAsia="Calibri" w:hAnsi="Calibri"/>
          <w:sz w:val="20"/>
          <w:szCs w:val="20"/>
          <w:color w:val="auto"/>
        </w:rPr>
        <w:t>- 12 weeks</w:t>
      </w:r>
    </w:p>
    <w:p>
      <w:pPr>
        <w:spacing w:after="0" w:line="200" w:lineRule="exact"/>
        <w:rPr>
          <w:sz w:val="20"/>
          <w:szCs w:val="20"/>
          <w:color w:val="auto"/>
        </w:rPr>
      </w:pPr>
    </w:p>
    <w:p>
      <w:pPr>
        <w:sectPr>
          <w:pgSz w:w="11900" w:h="16838" w:orient="portrait"/>
          <w:cols w:equalWidth="0" w:num="2">
            <w:col w:w="6560" w:space="500"/>
            <w:col w:w="4080"/>
          </w:cols>
          <w:pgMar w:left="320" w:top="628" w:right="439" w:bottom="1440" w:gutter="0" w:footer="0" w:header="0"/>
          <w:type w:val="continuous"/>
        </w:sectPr>
      </w:pPr>
    </w:p>
    <w:p>
      <w:pPr>
        <w:spacing w:after="0" w:line="41" w:lineRule="exact"/>
        <w:rPr>
          <w:sz w:val="20"/>
          <w:szCs w:val="20"/>
          <w:color w:val="auto"/>
        </w:rPr>
      </w:pPr>
    </w:p>
    <w:p>
      <w:pPr>
        <w:ind w:left="3460"/>
        <w:spacing w:after="0"/>
        <w:rPr>
          <w:sz w:val="20"/>
          <w:szCs w:val="20"/>
          <w:color w:val="auto"/>
        </w:rPr>
      </w:pPr>
      <w:r>
        <w:rPr>
          <w:rFonts w:ascii="Calibri" w:cs="Calibri" w:eastAsia="Calibri" w:hAnsi="Calibri"/>
          <w:sz w:val="20"/>
          <w:szCs w:val="20"/>
          <w:b w:val="1"/>
          <w:bCs w:val="1"/>
          <w:color w:val="auto"/>
        </w:rPr>
        <w:t>Grades 9 – 11 inclusiv</w:t>
      </w:r>
      <w:r>
        <w:rPr>
          <w:rFonts w:ascii="Calibri" w:cs="Calibri" w:eastAsia="Calibri" w:hAnsi="Calibri"/>
          <w:sz w:val="20"/>
          <w:szCs w:val="20"/>
          <w:color w:val="auto"/>
        </w:rPr>
        <w:t>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Calibri" w:cs="Calibri" w:eastAsia="Calibri" w:hAnsi="Calibri"/>
          <w:sz w:val="20"/>
          <w:szCs w:val="20"/>
          <w:color w:val="auto"/>
        </w:rPr>
        <w:t>- 3 months</w:t>
      </w:r>
    </w:p>
    <w:p>
      <w:pPr>
        <w:spacing w:after="0" w:line="200" w:lineRule="exact"/>
        <w:rPr>
          <w:sz w:val="20"/>
          <w:szCs w:val="20"/>
          <w:color w:val="auto"/>
        </w:rPr>
      </w:pPr>
    </w:p>
    <w:p>
      <w:pPr>
        <w:sectPr>
          <w:pgSz w:w="11900" w:h="16838" w:orient="portrait"/>
          <w:cols w:equalWidth="0" w:num="2">
            <w:col w:w="6380" w:space="720"/>
            <w:col w:w="4040"/>
          </w:cols>
          <w:pgMar w:left="320" w:top="628" w:right="439" w:bottom="1440" w:gutter="0" w:footer="0" w:header="0"/>
          <w:type w:val="continuous"/>
        </w:sectPr>
      </w:pPr>
    </w:p>
    <w:p>
      <w:pPr>
        <w:spacing w:after="0" w:line="41" w:lineRule="exact"/>
        <w:rPr>
          <w:sz w:val="20"/>
          <w:szCs w:val="20"/>
          <w:color w:val="auto"/>
        </w:rPr>
      </w:pPr>
    </w:p>
    <w:p>
      <w:pPr>
        <w:ind w:left="3460"/>
        <w:spacing w:after="0"/>
        <w:rPr>
          <w:sz w:val="20"/>
          <w:szCs w:val="20"/>
          <w:color w:val="auto"/>
        </w:rPr>
      </w:pPr>
      <w:r>
        <w:rPr>
          <w:rFonts w:ascii="Calibri" w:cs="Calibri" w:eastAsia="Calibri" w:hAnsi="Calibri"/>
          <w:sz w:val="20"/>
          <w:szCs w:val="20"/>
          <w:b w:val="1"/>
          <w:bCs w:val="1"/>
          <w:color w:val="auto"/>
        </w:rPr>
        <w:t>Grades 12 and above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Calibri" w:cs="Calibri" w:eastAsia="Calibri" w:hAnsi="Calibri"/>
          <w:sz w:val="20"/>
          <w:szCs w:val="20"/>
          <w:color w:val="auto"/>
        </w:rPr>
        <w:t>- 12 months</w:t>
      </w:r>
    </w:p>
    <w:p>
      <w:pPr>
        <w:spacing w:after="0" w:line="200" w:lineRule="exact"/>
        <w:rPr>
          <w:sz w:val="20"/>
          <w:szCs w:val="20"/>
          <w:color w:val="auto"/>
        </w:rPr>
      </w:pPr>
    </w:p>
    <w:p>
      <w:pPr>
        <w:sectPr>
          <w:pgSz w:w="11900" w:h="16838" w:orient="portrait"/>
          <w:cols w:equalWidth="0" w:num="2">
            <w:col w:w="6380" w:space="720"/>
            <w:col w:w="4040"/>
          </w:cols>
          <w:pgMar w:left="320" w:top="628" w:right="439" w:bottom="1440" w:gutter="0" w:footer="0" w:header="0"/>
          <w:type w:val="continuous"/>
        </w:sectPr>
      </w:pPr>
    </w:p>
    <w:p>
      <w:pPr>
        <w:spacing w:after="0" w:line="65" w:lineRule="exact"/>
        <w:rPr>
          <w:sz w:val="20"/>
          <w:szCs w:val="20"/>
          <w:color w:val="auto"/>
        </w:rPr>
      </w:pPr>
    </w:p>
    <w:p>
      <w:pPr>
        <w:jc w:val="both"/>
        <w:ind w:left="4040" w:hanging="254"/>
        <w:spacing w:after="0" w:line="235" w:lineRule="auto"/>
        <w:tabs>
          <w:tab w:leader="none" w:pos="4040" w:val="left"/>
        </w:tabs>
        <w:numPr>
          <w:ilvl w:val="0"/>
          <w:numId w:val="64"/>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This agreement will automatcally terminate on the Normal Retrement Date under the Rules of the Willis Pension Scheme. This does not afect your statutory rights under the Employment Equality (Age) Regulatons 2006.</w:t>
      </w:r>
    </w:p>
    <w:p>
      <w:pPr>
        <w:spacing w:after="0" w:line="24" w:lineRule="exact"/>
        <w:rPr>
          <w:rFonts w:ascii="Times New Roman" w:cs="Times New Roman" w:eastAsia="Times New Roman" w:hAnsi="Times New Roman"/>
          <w:sz w:val="20"/>
          <w:szCs w:val="20"/>
          <w:color w:val="auto"/>
        </w:rPr>
      </w:pPr>
    </w:p>
    <w:p>
      <w:pPr>
        <w:jc w:val="both"/>
        <w:ind w:left="4040" w:hanging="254"/>
        <w:spacing w:after="0" w:line="236" w:lineRule="auto"/>
        <w:tabs>
          <w:tab w:leader="none" w:pos="4040" w:val="left"/>
        </w:tabs>
        <w:numPr>
          <w:ilvl w:val="0"/>
          <w:numId w:val="64"/>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Company shall not be obligated to provide you with work at any tme afer the notce of terminaton is given by either party and the Company may in its absolute discreton take one or more of the following steps in respect of all or part of the unexpired period of notce (provided that this shall not amount to more than 6 months if the notce period is longer):</w:t>
      </w:r>
    </w:p>
    <w:p>
      <w:pPr>
        <w:spacing w:after="0" w:line="200" w:lineRule="exact"/>
        <w:rPr>
          <w:rFonts w:ascii="Times New Roman" w:cs="Times New Roman" w:eastAsia="Times New Roman" w:hAnsi="Times New Roman"/>
          <w:sz w:val="20"/>
          <w:szCs w:val="20"/>
          <w:color w:val="auto"/>
        </w:rPr>
      </w:pPr>
    </w:p>
    <w:p>
      <w:pPr>
        <w:spacing w:after="0" w:line="312" w:lineRule="exact"/>
        <w:rPr>
          <w:rFonts w:ascii="Times New Roman" w:cs="Times New Roman" w:eastAsia="Times New Roman" w:hAnsi="Times New Roman"/>
          <w:sz w:val="20"/>
          <w:szCs w:val="20"/>
          <w:color w:val="auto"/>
        </w:rPr>
      </w:pPr>
    </w:p>
    <w:p>
      <w:pPr>
        <w:jc w:val="both"/>
        <w:ind w:left="4660" w:hanging="227"/>
        <w:spacing w:after="0" w:line="236" w:lineRule="auto"/>
        <w:tabs>
          <w:tab w:leader="none" w:pos="4660" w:val="left"/>
        </w:tabs>
        <w:numPr>
          <w:ilvl w:val="1"/>
          <w:numId w:val="64"/>
        </w:numPr>
        <w:rPr>
          <w:rFonts w:ascii="Times New Roman" w:cs="Times New Roman" w:eastAsia="Times New Roman" w:hAnsi="Times New Roman"/>
          <w:sz w:val="20"/>
          <w:szCs w:val="20"/>
          <w:color w:val="auto"/>
        </w:rPr>
      </w:pPr>
      <w:r>
        <w:rPr>
          <w:rFonts w:ascii="Calibri" w:cs="Calibri" w:eastAsia="Calibri" w:hAnsi="Calibri"/>
          <w:sz w:val="20"/>
          <w:szCs w:val="20"/>
          <w:color w:val="auto"/>
        </w:rPr>
        <w:t>Require you to comply with such conditons as the Company may specify in relaton to atending or remaining away from the place of business of the Company, should you be required to remain away from the ofce you will be required to take any outstanding holiday during this period of lawful suspension, agreeing the days in advance with management;</w:t>
      </w:r>
    </w:p>
    <w:p>
      <w:pPr>
        <w:spacing w:after="0" w:line="26" w:lineRule="exact"/>
        <w:rPr>
          <w:rFonts w:ascii="Times New Roman" w:cs="Times New Roman" w:eastAsia="Times New Roman" w:hAnsi="Times New Roman"/>
          <w:sz w:val="20"/>
          <w:szCs w:val="20"/>
          <w:color w:val="auto"/>
        </w:rPr>
      </w:pPr>
    </w:p>
    <w:p>
      <w:pPr>
        <w:ind w:left="4660" w:hanging="227"/>
        <w:spacing w:after="0" w:line="234" w:lineRule="auto"/>
        <w:tabs>
          <w:tab w:leader="none" w:pos="4660" w:val="left"/>
        </w:tabs>
        <w:numPr>
          <w:ilvl w:val="1"/>
          <w:numId w:val="64"/>
        </w:numPr>
        <w:rPr>
          <w:rFonts w:ascii="Times New Roman" w:cs="Times New Roman" w:eastAsia="Times New Roman" w:hAnsi="Times New Roman"/>
          <w:sz w:val="20"/>
          <w:szCs w:val="20"/>
          <w:color w:val="auto"/>
        </w:rPr>
      </w:pPr>
      <w:r>
        <w:rPr>
          <w:rFonts w:ascii="Calibri" w:cs="Calibri" w:eastAsia="Calibri" w:hAnsi="Calibri"/>
          <w:sz w:val="20"/>
          <w:szCs w:val="20"/>
          <w:color w:val="auto"/>
        </w:rPr>
        <w:t>Assign you to such other dutes as the Company shall in its absolute discreton determine;</w:t>
      </w:r>
    </w:p>
    <w:p>
      <w:pPr>
        <w:spacing w:after="0" w:line="22" w:lineRule="exact"/>
        <w:rPr>
          <w:rFonts w:ascii="Times New Roman" w:cs="Times New Roman" w:eastAsia="Times New Roman" w:hAnsi="Times New Roman"/>
          <w:sz w:val="20"/>
          <w:szCs w:val="20"/>
          <w:color w:val="auto"/>
        </w:rPr>
      </w:pPr>
    </w:p>
    <w:p>
      <w:pPr>
        <w:ind w:left="4660" w:hanging="227"/>
        <w:spacing w:after="0" w:line="234" w:lineRule="auto"/>
        <w:tabs>
          <w:tab w:leader="none" w:pos="4660" w:val="left"/>
        </w:tabs>
        <w:numPr>
          <w:ilvl w:val="1"/>
          <w:numId w:val="64"/>
        </w:numPr>
        <w:rPr>
          <w:rFonts w:ascii="Times New Roman" w:cs="Times New Roman" w:eastAsia="Times New Roman" w:hAnsi="Times New Roman"/>
          <w:sz w:val="20"/>
          <w:szCs w:val="20"/>
          <w:color w:val="auto"/>
        </w:rPr>
      </w:pPr>
      <w:r>
        <w:rPr>
          <w:rFonts w:ascii="Calibri" w:cs="Calibri" w:eastAsia="Calibri" w:hAnsi="Calibri"/>
          <w:sz w:val="20"/>
          <w:szCs w:val="20"/>
          <w:color w:val="auto"/>
        </w:rPr>
        <w:t>Withdraw any powers invested in you or suspend or vary any dutes or responsibilites assigned to you.</w:t>
      </w:r>
    </w:p>
    <w:p>
      <w:pPr>
        <w:spacing w:after="0" w:line="265" w:lineRule="exact"/>
        <w:rPr>
          <w:rFonts w:ascii="Times New Roman" w:cs="Times New Roman" w:eastAsia="Times New Roman" w:hAnsi="Times New Roman"/>
          <w:sz w:val="20"/>
          <w:szCs w:val="20"/>
          <w:color w:val="auto"/>
        </w:rPr>
      </w:pPr>
    </w:p>
    <w:p>
      <w:pPr>
        <w:jc w:val="both"/>
        <w:ind w:left="4040" w:hanging="254"/>
        <w:spacing w:after="0" w:line="236" w:lineRule="auto"/>
        <w:tabs>
          <w:tab w:leader="none" w:pos="4040" w:val="left"/>
        </w:tabs>
        <w:numPr>
          <w:ilvl w:val="0"/>
          <w:numId w:val="64"/>
        </w:numPr>
        <w:rPr>
          <w:rFonts w:ascii="Times New Roman" w:cs="Times New Roman" w:eastAsia="Times New Roman" w:hAnsi="Times New Roman"/>
          <w:sz w:val="20"/>
          <w:szCs w:val="20"/>
          <w:color w:val="auto"/>
        </w:rPr>
      </w:pPr>
      <w:r>
        <w:rPr>
          <w:rFonts w:ascii="Calibri" w:cs="Calibri" w:eastAsia="Calibri" w:hAnsi="Calibri"/>
          <w:sz w:val="20"/>
          <w:szCs w:val="20"/>
          <w:color w:val="auto"/>
        </w:rPr>
        <w:t>On terminaton of the Contract for whatever reason you must return to the Company all reports, documents, computer disks, working papers and any other informaton (in whatever form) received in the course of your employment. In additon all other Group property must be returned.</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alibri" w:cs="Calibri" w:eastAsia="Calibri" w:hAnsi="Calibri"/>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28" w:right="439" w:bottom="1440" w:gutter="0" w:footer="0" w:header="0"/>
          <w:type w:val="continuous"/>
        </w:sectPr>
      </w:pPr>
    </w:p>
    <w:bookmarkStart w:id="145" w:name="page146"/>
    <w:bookmarkEnd w:id="145"/>
    <w:p>
      <w:pPr>
        <w:ind w:left="100"/>
        <w:spacing w:after="0"/>
        <w:rPr>
          <w:sz w:val="20"/>
          <w:szCs w:val="20"/>
          <w:color w:val="auto"/>
        </w:rPr>
      </w:pPr>
      <w:r>
        <w:rPr>
          <w:rFonts w:ascii="Calibri" w:cs="Calibri" w:eastAsia="Calibri" w:hAnsi="Calibri"/>
          <w:sz w:val="20"/>
          <w:szCs w:val="20"/>
          <w:b w:val="1"/>
          <w:bCs w:val="1"/>
          <w:color w:val="auto"/>
        </w:rPr>
        <w:t>Company Procedures:</w:t>
      </w:r>
    </w:p>
    <w:p>
      <w:pPr>
        <w:spacing w:after="0" w:line="20" w:lineRule="exact"/>
        <w:rPr>
          <w:sz w:val="20"/>
          <w:szCs w:val="20"/>
          <w:color w:val="auto"/>
        </w:rPr>
      </w:pPr>
      <w:r>
        <w:rPr>
          <w:sz w:val="20"/>
          <w:szCs w:val="20"/>
          <w:color w:val="auto"/>
        </w:rPr>
        <w:br w:type="column"/>
      </w:r>
    </w:p>
    <w:p>
      <w:pPr>
        <w:jc w:val="both"/>
        <w:spacing w:after="0"/>
        <w:rPr>
          <w:sz w:val="20"/>
          <w:szCs w:val="20"/>
          <w:color w:val="auto"/>
        </w:rPr>
      </w:pPr>
      <w:r>
        <w:rPr>
          <w:rFonts w:ascii="Calibri" w:cs="Calibri" w:eastAsia="Calibri" w:hAnsi="Calibri"/>
          <w:sz w:val="20"/>
          <w:szCs w:val="20"/>
          <w:color w:val="auto"/>
        </w:rPr>
        <w:t>The Associate Handbook and the Global Policy Manual contain details of the Company Procedures afectng your terms and conditons of employment, including our Ethical Code, the Equal Opportunites Policy, Performance Improvement, Disciplinary, Appeals and Grievance procedures which should be read in conjuncton with your Contract of Employment.</w:t>
      </w:r>
    </w:p>
    <w:p>
      <w:pPr>
        <w:spacing w:after="0" w:line="200" w:lineRule="exact"/>
        <w:rPr>
          <w:sz w:val="20"/>
          <w:szCs w:val="20"/>
          <w:color w:val="auto"/>
        </w:rPr>
      </w:pPr>
    </w:p>
    <w:p>
      <w:pPr>
        <w:sectPr>
          <w:pgSz w:w="11900" w:h="16838" w:orient="portrait"/>
          <w:cols w:equalWidth="0" w:num="2">
            <w:col w:w="2740" w:space="720"/>
            <w:col w:w="7680"/>
          </w:cols>
          <w:pgMar w:left="320" w:top="361" w:right="439" w:bottom="1440" w:gutter="0" w:footer="0" w:header="0"/>
        </w:sectPr>
      </w:pPr>
    </w:p>
    <w:p>
      <w:pPr>
        <w:spacing w:after="0" w:line="280" w:lineRule="exact"/>
        <w:rPr>
          <w:sz w:val="20"/>
          <w:szCs w:val="20"/>
          <w:color w:val="auto"/>
        </w:rPr>
      </w:pPr>
    </w:p>
    <w:p>
      <w:pPr>
        <w:jc w:val="both"/>
        <w:ind w:left="3460"/>
        <w:spacing w:after="0" w:line="235" w:lineRule="auto"/>
        <w:rPr>
          <w:sz w:val="20"/>
          <w:szCs w:val="20"/>
          <w:color w:val="auto"/>
        </w:rPr>
      </w:pPr>
      <w:r>
        <w:rPr>
          <w:rFonts w:ascii="Calibri" w:cs="Calibri" w:eastAsia="Calibri" w:hAnsi="Calibri"/>
          <w:sz w:val="20"/>
          <w:szCs w:val="20"/>
          <w:color w:val="auto"/>
        </w:rPr>
        <w:t>These documents are available in electronic format on the Company’s intranet site. It is your responsibility to familiarise yourself with these documents, and to note amendments of which you will be advised from tme to tme.</w:t>
      </w:r>
    </w:p>
    <w:p>
      <w:pPr>
        <w:spacing w:after="0" w:line="254" w:lineRule="exact"/>
        <w:rPr>
          <w:sz w:val="20"/>
          <w:szCs w:val="20"/>
          <w:color w:val="auto"/>
        </w:rPr>
      </w:pPr>
    </w:p>
    <w:p>
      <w:pPr>
        <w:jc w:val="both"/>
        <w:ind w:left="3460"/>
        <w:spacing w:after="0" w:line="236" w:lineRule="auto"/>
        <w:rPr>
          <w:sz w:val="20"/>
          <w:szCs w:val="20"/>
          <w:color w:val="auto"/>
        </w:rPr>
      </w:pPr>
      <w:r>
        <w:rPr>
          <w:rFonts w:ascii="Calibri" w:cs="Calibri" w:eastAsia="Calibri" w:hAnsi="Calibri"/>
          <w:sz w:val="20"/>
          <w:szCs w:val="20"/>
          <w:color w:val="auto"/>
        </w:rPr>
        <w:t>You are specifcally advised that it is your responsibility to comply with the Company’s policies, rules and procedures, including those contained within the Willis Excellence Model and other compliance documents, as varied or supplemented by it from tme to tme. Failure to comply with the Company’s policies, rules and procedures will be a disciplinary ofence and be dealt with in accordance with the Company’s disciplinary procedures.</w:t>
      </w:r>
    </w:p>
    <w:p>
      <w:pPr>
        <w:sectPr>
          <w:pgSz w:w="11900" w:h="16838" w:orient="portrait"/>
          <w:cols w:equalWidth="0" w:num="1">
            <w:col w:w="11140"/>
          </w:cols>
          <w:pgMar w:left="320" w:top="361" w:right="439" w:bottom="1440" w:gutter="0" w:footer="0" w:header="0"/>
          <w:type w:val="continuous"/>
        </w:sectPr>
      </w:pPr>
    </w:p>
    <w:p>
      <w:pPr>
        <w:spacing w:after="0" w:line="273" w:lineRule="exact"/>
        <w:rPr>
          <w:sz w:val="20"/>
          <w:szCs w:val="20"/>
          <w:color w:val="auto"/>
        </w:rPr>
      </w:pPr>
    </w:p>
    <w:p>
      <w:pPr>
        <w:ind w:left="100"/>
        <w:spacing w:after="0"/>
        <w:rPr>
          <w:sz w:val="20"/>
          <w:szCs w:val="20"/>
          <w:color w:val="auto"/>
        </w:rPr>
      </w:pPr>
      <w:r>
        <w:rPr>
          <w:rFonts w:ascii="Calibri" w:cs="Calibri" w:eastAsia="Calibri" w:hAnsi="Calibri"/>
          <w:sz w:val="20"/>
          <w:szCs w:val="20"/>
          <w:b w:val="1"/>
          <w:bCs w:val="1"/>
          <w:color w:val="auto"/>
        </w:rPr>
        <w:t>Regulatory</w:t>
      </w:r>
    </w:p>
    <w:p>
      <w:pPr>
        <w:ind w:left="100"/>
        <w:spacing w:after="0" w:line="238" w:lineRule="auto"/>
        <w:rPr>
          <w:sz w:val="20"/>
          <w:szCs w:val="20"/>
          <w:color w:val="auto"/>
        </w:rPr>
      </w:pPr>
      <w:r>
        <w:rPr>
          <w:rFonts w:ascii="Calibri" w:cs="Calibri" w:eastAsia="Calibri" w:hAnsi="Calibri"/>
          <w:sz w:val="20"/>
          <w:szCs w:val="20"/>
          <w:b w:val="1"/>
          <w:bCs w:val="1"/>
          <w:color w:val="auto"/>
        </w:rPr>
        <w:t>Requirements:</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You are required to comply with all reasonable requests, instructons and regulatons (whether statutory or otherwise) which apply to your employment from tme to tme including any relevant requirements of the FSA and/or any other relevant regulator. It is your responsibility to familiarise yourself with all such regulatons and requirements as made available to you by the Company.</w:t>
      </w:r>
    </w:p>
    <w:p>
      <w:pPr>
        <w:spacing w:after="0" w:line="200" w:lineRule="exact"/>
        <w:rPr>
          <w:sz w:val="20"/>
          <w:szCs w:val="20"/>
          <w:color w:val="auto"/>
        </w:rPr>
      </w:pPr>
    </w:p>
    <w:p>
      <w:pPr>
        <w:sectPr>
          <w:pgSz w:w="11900" w:h="16838" w:orient="portrait"/>
          <w:cols w:equalWidth="0" w:num="2">
            <w:col w:w="2740" w:space="720"/>
            <w:col w:w="7680"/>
          </w:cols>
          <w:pgMar w:left="320" w:top="361" w:right="439" w:bottom="1440" w:gutter="0" w:footer="0" w:header="0"/>
          <w:type w:val="continuous"/>
        </w:sectPr>
      </w:pPr>
    </w:p>
    <w:p>
      <w:pPr>
        <w:spacing w:after="0" w:line="56" w:lineRule="exact"/>
        <w:rPr>
          <w:sz w:val="20"/>
          <w:szCs w:val="20"/>
          <w:color w:val="auto"/>
        </w:rPr>
      </w:pPr>
    </w:p>
    <w:p>
      <w:pPr>
        <w:jc w:val="both"/>
        <w:ind w:left="3460"/>
        <w:spacing w:after="0"/>
        <w:rPr>
          <w:sz w:val="20"/>
          <w:szCs w:val="20"/>
          <w:color w:val="auto"/>
        </w:rPr>
      </w:pPr>
      <w:r>
        <w:rPr>
          <w:rFonts w:ascii="Calibri" w:cs="Calibri" w:eastAsia="Calibri" w:hAnsi="Calibri"/>
          <w:sz w:val="20"/>
          <w:szCs w:val="20"/>
          <w:color w:val="auto"/>
        </w:rPr>
        <w:t>It is a conditon of your employment that you demonstrate and maintain competence for the role you carry out, through the inital completon and passing of relevant modules of Insurance Essentals, and of any other training packages and tests introduced by the Company from tme to tme thereafer. In the event of you failing to maintain and demonstrate competence for your role the Company will follow the Performance Improvement Procedure.</w:t>
      </w:r>
    </w:p>
    <w:p>
      <w:pPr>
        <w:sectPr>
          <w:pgSz w:w="11900" w:h="16838" w:orient="portrait"/>
          <w:cols w:equalWidth="0" w:num="1">
            <w:col w:w="11140"/>
          </w:cols>
          <w:pgMar w:left="320" w:top="361" w:right="439" w:bottom="1440" w:gutter="0" w:footer="0" w:header="0"/>
          <w:type w:val="continuous"/>
        </w:sectPr>
      </w:pPr>
    </w:p>
    <w:p>
      <w:pPr>
        <w:spacing w:after="0" w:line="200" w:lineRule="exact"/>
        <w:rPr>
          <w:sz w:val="20"/>
          <w:szCs w:val="20"/>
          <w:color w:val="auto"/>
        </w:rPr>
      </w:pPr>
    </w:p>
    <w:p>
      <w:pPr>
        <w:spacing w:after="0" w:line="295" w:lineRule="exact"/>
        <w:rPr>
          <w:sz w:val="20"/>
          <w:szCs w:val="20"/>
          <w:color w:val="auto"/>
        </w:rPr>
      </w:pPr>
    </w:p>
    <w:p>
      <w:pPr>
        <w:ind w:left="100"/>
        <w:spacing w:after="0"/>
        <w:rPr>
          <w:sz w:val="20"/>
          <w:szCs w:val="20"/>
          <w:color w:val="auto"/>
        </w:rPr>
      </w:pPr>
      <w:r>
        <w:rPr>
          <w:rFonts w:ascii="Calibri" w:cs="Calibri" w:eastAsia="Calibri" w:hAnsi="Calibri"/>
          <w:sz w:val="20"/>
          <w:szCs w:val="20"/>
          <w:b w:val="1"/>
          <w:bCs w:val="1"/>
          <w:color w:val="auto"/>
        </w:rPr>
        <w:t>Data Protecton: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line="236" w:lineRule="auto"/>
        <w:rPr>
          <w:sz w:val="20"/>
          <w:szCs w:val="20"/>
          <w:color w:val="auto"/>
        </w:rPr>
      </w:pPr>
      <w:r>
        <w:rPr>
          <w:rFonts w:ascii="Calibri" w:cs="Calibri" w:eastAsia="Calibri" w:hAnsi="Calibri"/>
          <w:sz w:val="20"/>
          <w:szCs w:val="20"/>
          <w:color w:val="auto"/>
        </w:rPr>
        <w:t>In order to meet statutory requirements, the Company, as your employer, is required to collect, process and retain informaton, which the Data Protecton Act 1998 defnes as sensitve personal data. By signing this Contract you are expressly agreeing to the Company collectng, processing and retaining the following informaton relatng to:</w:t>
      </w:r>
    </w:p>
    <w:p>
      <w:pPr>
        <w:spacing w:after="0" w:line="39" w:lineRule="exact"/>
        <w:rPr>
          <w:sz w:val="20"/>
          <w:szCs w:val="20"/>
          <w:color w:val="auto"/>
        </w:rPr>
      </w:pPr>
    </w:p>
    <w:p>
      <w:pPr>
        <w:sectPr>
          <w:pgSz w:w="11900" w:h="16838" w:orient="portrait"/>
          <w:cols w:equalWidth="0" w:num="2">
            <w:col w:w="2740" w:space="720"/>
            <w:col w:w="7680"/>
          </w:cols>
          <w:pgMar w:left="320" w:top="361" w:right="439" w:bottom="1440" w:gutter="0" w:footer="0" w:header="0"/>
          <w:type w:val="continuous"/>
        </w:sectPr>
      </w:pPr>
    </w:p>
    <w:p>
      <w:pPr>
        <w:ind w:left="3780"/>
        <w:spacing w:after="0"/>
        <w:rPr>
          <w:sz w:val="20"/>
          <w:szCs w:val="20"/>
          <w:color w:val="auto"/>
        </w:rPr>
      </w:pPr>
      <w:r>
        <w:rPr>
          <w:rFonts w:ascii="Times New Roman" w:cs="Times New Roman" w:eastAsia="Times New Roman" w:hAnsi="Times New Roman"/>
          <w:sz w:val="20"/>
          <w:szCs w:val="20"/>
          <w:color w:val="auto"/>
        </w:rPr>
        <w:t xml:space="preserve">a) </w:t>
      </w:r>
      <w:r>
        <w:rPr>
          <w:rFonts w:ascii="Calibri" w:cs="Calibri" w:eastAsia="Calibri" w:hAnsi="Calibri"/>
          <w:sz w:val="20"/>
          <w:szCs w:val="20"/>
          <w:color w:val="auto"/>
        </w:rPr>
        <w:t>Ethnic origin – to ensure equality of opportunity;</w:t>
      </w:r>
    </w:p>
    <w:p>
      <w:pPr>
        <w:spacing w:after="0" w:line="14" w:lineRule="exact"/>
        <w:rPr>
          <w:sz w:val="20"/>
          <w:szCs w:val="20"/>
          <w:color w:val="auto"/>
        </w:rPr>
      </w:pPr>
    </w:p>
    <w:p>
      <w:pPr>
        <w:ind w:left="3780" w:right="1600"/>
        <w:spacing w:after="0" w:line="251" w:lineRule="auto"/>
        <w:rPr>
          <w:sz w:val="20"/>
          <w:szCs w:val="20"/>
          <w:color w:val="auto"/>
        </w:rPr>
      </w:pPr>
      <w:r>
        <w:rPr>
          <w:rFonts w:ascii="Times New Roman" w:cs="Times New Roman" w:eastAsia="Times New Roman" w:hAnsi="Times New Roman"/>
          <w:sz w:val="20"/>
          <w:szCs w:val="20"/>
          <w:color w:val="auto"/>
        </w:rPr>
        <w:t xml:space="preserve">b) </w:t>
      </w:r>
      <w:r>
        <w:rPr>
          <w:rFonts w:ascii="Calibri" w:cs="Calibri" w:eastAsia="Calibri" w:hAnsi="Calibri"/>
          <w:sz w:val="20"/>
          <w:szCs w:val="20"/>
          <w:color w:val="auto"/>
        </w:rPr>
        <w:t>Physical or mental health or conditon – as part of sickness records;</w:t>
      </w:r>
      <w:r>
        <w:rPr>
          <w:rFonts w:ascii="Times New Roman" w:cs="Times New Roman" w:eastAsia="Times New Roman" w:hAnsi="Times New Roman"/>
          <w:sz w:val="20"/>
          <w:szCs w:val="20"/>
          <w:color w:val="auto"/>
        </w:rPr>
        <w:t xml:space="preserve"> c) </w:t>
      </w:r>
      <w:r>
        <w:rPr>
          <w:rFonts w:ascii="Calibri" w:cs="Calibri" w:eastAsia="Calibri" w:hAnsi="Calibri"/>
          <w:sz w:val="20"/>
          <w:szCs w:val="20"/>
          <w:color w:val="auto"/>
        </w:rPr>
        <w:t>Disabilites – to facilitate adaptatons in the workplace; and</w:t>
      </w:r>
    </w:p>
    <w:p>
      <w:pPr>
        <w:spacing w:after="0" w:line="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color w:val="auto"/>
        </w:rPr>
        <w:t xml:space="preserve">d) </w:t>
      </w:r>
      <w:r>
        <w:rPr>
          <w:rFonts w:ascii="Calibri" w:cs="Calibri" w:eastAsia="Calibri" w:hAnsi="Calibri"/>
          <w:sz w:val="20"/>
          <w:szCs w:val="20"/>
          <w:color w:val="auto"/>
        </w:rPr>
        <w:t>Criminal convictons – to comply with the Rehabilitaton of Ofenders Act.</w:t>
      </w:r>
    </w:p>
    <w:p>
      <w:pPr>
        <w:spacing w:after="0" w:line="255" w:lineRule="exact"/>
        <w:rPr>
          <w:sz w:val="20"/>
          <w:szCs w:val="20"/>
          <w:color w:val="auto"/>
        </w:rPr>
      </w:pPr>
    </w:p>
    <w:p>
      <w:pPr>
        <w:spacing w:after="0"/>
        <w:rPr>
          <w:sz w:val="20"/>
          <w:szCs w:val="20"/>
          <w:color w:val="auto"/>
        </w:rPr>
      </w:pPr>
      <w:r>
        <w:rPr>
          <w:rFonts w:ascii="Calibri" w:cs="Calibri" w:eastAsia="Calibri" w:hAnsi="Calibri"/>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1" w:right="439" w:bottom="1440" w:gutter="0" w:footer="0" w:header="0"/>
          <w:type w:val="continuous"/>
        </w:sectPr>
      </w:pPr>
    </w:p>
    <w:bookmarkStart w:id="146" w:name="page147"/>
    <w:bookmarkEnd w:id="146"/>
    <w:p>
      <w:pPr>
        <w:jc w:val="both"/>
        <w:ind w:left="3460"/>
        <w:spacing w:after="0" w:line="237" w:lineRule="auto"/>
        <w:rPr>
          <w:sz w:val="20"/>
          <w:szCs w:val="20"/>
          <w:color w:val="auto"/>
        </w:rPr>
      </w:pPr>
      <w:r>
        <w:rPr>
          <w:rFonts w:ascii="Calibri" w:cs="Calibri" w:eastAsia="Calibri" w:hAnsi="Calibri"/>
          <w:sz w:val="20"/>
          <w:szCs w:val="20"/>
          <w:color w:val="auto"/>
        </w:rPr>
        <w:t>This informaton, which will be held securely by Human Resources and, where applicable, Occupatonal Health departments, is processed in accordance with the principles set out in the Data Protecton Act. You have the right to inspect such informaton and, if necessary, require correctons to be made if the informaton held about you is inaccurate. Should you wish to inspect or amend any sensitve personal data held about you, then please contact Human Resources.</w:t>
      </w:r>
    </w:p>
    <w:p>
      <w:pPr>
        <w:spacing w:after="0" w:line="253" w:lineRule="exact"/>
        <w:rPr>
          <w:sz w:val="20"/>
          <w:szCs w:val="20"/>
          <w:color w:val="auto"/>
        </w:rPr>
      </w:pPr>
    </w:p>
    <w:p>
      <w:pPr>
        <w:jc w:val="both"/>
        <w:ind w:left="3460"/>
        <w:spacing w:after="0" w:line="237" w:lineRule="auto"/>
        <w:rPr>
          <w:sz w:val="20"/>
          <w:szCs w:val="20"/>
          <w:color w:val="auto"/>
        </w:rPr>
      </w:pPr>
      <w:r>
        <w:rPr>
          <w:rFonts w:ascii="Calibri" w:cs="Calibri" w:eastAsia="Calibri" w:hAnsi="Calibri"/>
          <w:sz w:val="20"/>
          <w:szCs w:val="20"/>
          <w:color w:val="auto"/>
        </w:rPr>
        <w:t>The Company has an integrated Global Payroll and HR database the server for which is located in the US. By acceptng this contract you agree that the company may input relevant personnel records into these databases, which will be transferred to the US for processing. The US does not have equivalent data protecton law to that of the UK, however it is the Company’s policy to maintain the same rigorous standards with regard to the processing of data in the US as in the UK.</w:t>
      </w:r>
    </w:p>
    <w:p>
      <w:pPr>
        <w:spacing w:after="0" w:line="270" w:lineRule="exact"/>
        <w:rPr>
          <w:sz w:val="20"/>
          <w:szCs w:val="20"/>
          <w:color w:val="auto"/>
        </w:rPr>
      </w:pPr>
    </w:p>
    <w:p>
      <w:pPr>
        <w:ind w:left="100"/>
        <w:spacing w:after="0"/>
        <w:tabs>
          <w:tab w:leader="none" w:pos="3440" w:val="left"/>
        </w:tabs>
        <w:rPr>
          <w:sz w:val="20"/>
          <w:szCs w:val="20"/>
          <w:color w:val="auto"/>
        </w:rPr>
      </w:pPr>
      <w:r>
        <w:rPr>
          <w:rFonts w:ascii="Calibri" w:cs="Calibri" w:eastAsia="Calibri" w:hAnsi="Calibri"/>
          <w:sz w:val="20"/>
          <w:szCs w:val="20"/>
          <w:b w:val="1"/>
          <w:bCs w:val="1"/>
          <w:color w:val="auto"/>
        </w:rPr>
        <w:t>Collectve Agreements:</w:t>
      </w:r>
      <w:r>
        <w:rPr>
          <w:sz w:val="20"/>
          <w:szCs w:val="20"/>
          <w:color w:val="auto"/>
        </w:rPr>
        <w:tab/>
      </w:r>
      <w:r>
        <w:rPr>
          <w:rFonts w:ascii="Calibri" w:cs="Calibri" w:eastAsia="Calibri" w:hAnsi="Calibri"/>
          <w:sz w:val="20"/>
          <w:szCs w:val="20"/>
          <w:color w:val="auto"/>
        </w:rPr>
        <w:t>There are no collectve agreements in force that will afect your employment with the Group.</w:t>
      </w:r>
    </w:p>
    <w:p>
      <w:pPr>
        <w:spacing w:after="0" w:line="200" w:lineRule="exact"/>
        <w:rPr>
          <w:sz w:val="20"/>
          <w:szCs w:val="20"/>
          <w:color w:val="auto"/>
        </w:rPr>
      </w:pPr>
    </w:p>
    <w:p>
      <w:pPr>
        <w:spacing w:after="0" w:line="307" w:lineRule="exact"/>
        <w:rPr>
          <w:sz w:val="20"/>
          <w:szCs w:val="20"/>
          <w:color w:val="auto"/>
        </w:rPr>
      </w:pPr>
    </w:p>
    <w:p>
      <w:pPr>
        <w:ind w:right="40"/>
        <w:spacing w:after="0" w:line="234" w:lineRule="auto"/>
        <w:rPr>
          <w:sz w:val="20"/>
          <w:szCs w:val="20"/>
          <w:color w:val="auto"/>
        </w:rPr>
      </w:pPr>
      <w:r>
        <w:rPr>
          <w:rFonts w:ascii="Calibri" w:cs="Calibri" w:eastAsia="Calibri" w:hAnsi="Calibri"/>
          <w:sz w:val="20"/>
          <w:szCs w:val="20"/>
          <w:color w:val="auto"/>
        </w:rPr>
        <w:t>This Agreement or atachments to this agreement supersedes any existng or prior arrangements between you and the Company or any subsidiary or associated Company of Willis Limited. In the event of difering terms, this Contract of Employment will prevail.</w:t>
      </w:r>
    </w:p>
    <w:p>
      <w:pPr>
        <w:spacing w:after="0" w:line="14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Defnitons:</w:t>
      </w:r>
    </w:p>
    <w:p>
      <w:pPr>
        <w:spacing w:after="0" w:line="133" w:lineRule="exact"/>
        <w:rPr>
          <w:sz w:val="20"/>
          <w:szCs w:val="20"/>
          <w:color w:val="auto"/>
        </w:rPr>
      </w:pPr>
    </w:p>
    <w:p>
      <w:pPr>
        <w:spacing w:after="0"/>
        <w:rPr>
          <w:sz w:val="20"/>
          <w:szCs w:val="20"/>
          <w:color w:val="auto"/>
        </w:rPr>
      </w:pPr>
      <w:r>
        <w:rPr>
          <w:rFonts w:ascii="Calibri" w:cs="Calibri" w:eastAsia="Calibri" w:hAnsi="Calibri"/>
          <w:sz w:val="20"/>
          <w:szCs w:val="20"/>
          <w:color w:val="auto"/>
        </w:rPr>
        <w:t>For the purpose of this contract the following defnitons shall apply:</w:t>
      </w:r>
    </w:p>
    <w:p>
      <w:pPr>
        <w:spacing w:after="0" w:line="147" w:lineRule="exact"/>
        <w:rPr>
          <w:sz w:val="20"/>
          <w:szCs w:val="20"/>
          <w:color w:val="auto"/>
        </w:rPr>
      </w:pPr>
    </w:p>
    <w:p>
      <w:pPr>
        <w:spacing w:after="0"/>
        <w:rPr>
          <w:sz w:val="20"/>
          <w:szCs w:val="20"/>
          <w:color w:val="auto"/>
        </w:rPr>
      </w:pPr>
      <w:r>
        <w:rPr>
          <w:rFonts w:ascii="Calibri" w:cs="Calibri" w:eastAsia="Calibri" w:hAnsi="Calibri"/>
          <w:sz w:val="20"/>
          <w:szCs w:val="20"/>
          <w:color w:val="auto"/>
        </w:rPr>
        <w:t>“Group” means the Company and any holding company or subsidiaries of the Company or any such holding company from tme to tme.</w:t>
      </w:r>
    </w:p>
    <w:p>
      <w:pPr>
        <w:spacing w:after="0" w:line="157" w:lineRule="exact"/>
        <w:rPr>
          <w:sz w:val="20"/>
          <w:szCs w:val="20"/>
          <w:color w:val="auto"/>
        </w:rPr>
      </w:pPr>
    </w:p>
    <w:p>
      <w:pPr>
        <w:ind w:right="300"/>
        <w:spacing w:after="0" w:line="234" w:lineRule="auto"/>
        <w:rPr>
          <w:sz w:val="20"/>
          <w:szCs w:val="20"/>
          <w:color w:val="auto"/>
        </w:rPr>
      </w:pPr>
      <w:r>
        <w:rPr>
          <w:rFonts w:ascii="Calibri" w:cs="Calibri" w:eastAsia="Calibri" w:hAnsi="Calibri"/>
          <w:sz w:val="20"/>
          <w:szCs w:val="20"/>
          <w:color w:val="auto"/>
        </w:rPr>
        <w:t>“Client” means any person, frm, company or other organisaton who or which as at the date your employment terminates or at any tme during the 12 months prior to that date:</w:t>
      </w:r>
    </w:p>
    <w:p>
      <w:pPr>
        <w:spacing w:after="0" w:line="144" w:lineRule="exact"/>
        <w:rPr>
          <w:sz w:val="20"/>
          <w:szCs w:val="20"/>
          <w:color w:val="auto"/>
        </w:rPr>
      </w:pPr>
    </w:p>
    <w:p>
      <w:pPr>
        <w:ind w:left="760" w:right="160" w:hanging="378"/>
        <w:spacing w:after="0" w:line="234" w:lineRule="auto"/>
        <w:tabs>
          <w:tab w:leader="none" w:pos="760" w:val="left"/>
        </w:tabs>
        <w:numPr>
          <w:ilvl w:val="0"/>
          <w:numId w:val="65"/>
        </w:numPr>
        <w:rPr>
          <w:rFonts w:ascii="Calibri" w:cs="Calibri" w:eastAsia="Calibri" w:hAnsi="Calibri"/>
          <w:sz w:val="20"/>
          <w:szCs w:val="20"/>
          <w:color w:val="auto"/>
        </w:rPr>
      </w:pPr>
      <w:r>
        <w:rPr>
          <w:rFonts w:ascii="Calibri" w:cs="Calibri" w:eastAsia="Calibri" w:hAnsi="Calibri"/>
          <w:sz w:val="20"/>
          <w:szCs w:val="20"/>
          <w:color w:val="auto"/>
        </w:rPr>
        <w:t>gives or is in the habit of giving instructons directly or through an Intermediary to the Company or any other company in the Group concerning the Business; or</w:t>
      </w:r>
    </w:p>
    <w:p>
      <w:pPr>
        <w:spacing w:after="0" w:line="157" w:lineRule="exact"/>
        <w:rPr>
          <w:rFonts w:ascii="Calibri" w:cs="Calibri" w:eastAsia="Calibri" w:hAnsi="Calibri"/>
          <w:sz w:val="20"/>
          <w:szCs w:val="20"/>
          <w:color w:val="auto"/>
        </w:rPr>
      </w:pPr>
    </w:p>
    <w:p>
      <w:pPr>
        <w:ind w:left="760" w:right="220" w:hanging="378"/>
        <w:spacing w:after="0" w:line="234" w:lineRule="auto"/>
        <w:tabs>
          <w:tab w:leader="none" w:pos="760" w:val="left"/>
        </w:tabs>
        <w:numPr>
          <w:ilvl w:val="0"/>
          <w:numId w:val="65"/>
        </w:numPr>
        <w:rPr>
          <w:rFonts w:ascii="Calibri" w:cs="Calibri" w:eastAsia="Calibri" w:hAnsi="Calibri"/>
          <w:sz w:val="20"/>
          <w:szCs w:val="20"/>
          <w:color w:val="auto"/>
        </w:rPr>
      </w:pPr>
      <w:r>
        <w:rPr>
          <w:rFonts w:ascii="Calibri" w:cs="Calibri" w:eastAsia="Calibri" w:hAnsi="Calibri"/>
          <w:sz w:val="20"/>
          <w:szCs w:val="20"/>
          <w:color w:val="auto"/>
        </w:rPr>
        <w:t>is supplied or is in the habit of being supplied directly by the Company or any company in the Group or indirectly through an Intermediary with services relatng to the Business; or</w:t>
      </w:r>
    </w:p>
    <w:p>
      <w:pPr>
        <w:spacing w:after="0" w:line="157" w:lineRule="exact"/>
        <w:rPr>
          <w:rFonts w:ascii="Calibri" w:cs="Calibri" w:eastAsia="Calibri" w:hAnsi="Calibri"/>
          <w:sz w:val="20"/>
          <w:szCs w:val="20"/>
          <w:color w:val="auto"/>
        </w:rPr>
      </w:pPr>
    </w:p>
    <w:p>
      <w:pPr>
        <w:ind w:left="760" w:right="140" w:hanging="378"/>
        <w:spacing w:after="0" w:line="234" w:lineRule="auto"/>
        <w:tabs>
          <w:tab w:leader="none" w:pos="760" w:val="left"/>
        </w:tabs>
        <w:numPr>
          <w:ilvl w:val="0"/>
          <w:numId w:val="65"/>
        </w:numPr>
        <w:rPr>
          <w:rFonts w:ascii="Calibri" w:cs="Calibri" w:eastAsia="Calibri" w:hAnsi="Calibri"/>
          <w:sz w:val="20"/>
          <w:szCs w:val="20"/>
          <w:color w:val="auto"/>
        </w:rPr>
      </w:pPr>
      <w:r>
        <w:rPr>
          <w:rFonts w:ascii="Calibri" w:cs="Calibri" w:eastAsia="Calibri" w:hAnsi="Calibri"/>
          <w:sz w:val="20"/>
          <w:szCs w:val="20"/>
          <w:color w:val="auto"/>
        </w:rPr>
        <w:t>is an insured or reassured or an Intermediary having infuence over the introducton or facilitaton or securing of the Business with the Company or any other company in the Group.</w:t>
      </w:r>
    </w:p>
    <w:p>
      <w:pPr>
        <w:spacing w:after="0" w:line="144" w:lineRule="exact"/>
        <w:rPr>
          <w:sz w:val="20"/>
          <w:szCs w:val="20"/>
          <w:color w:val="auto"/>
        </w:rPr>
      </w:pPr>
    </w:p>
    <w:p>
      <w:pPr>
        <w:ind w:right="640"/>
        <w:spacing w:after="0" w:line="235" w:lineRule="auto"/>
        <w:rPr>
          <w:sz w:val="20"/>
          <w:szCs w:val="20"/>
          <w:color w:val="auto"/>
        </w:rPr>
      </w:pPr>
      <w:r>
        <w:rPr>
          <w:rFonts w:ascii="Calibri" w:cs="Calibri" w:eastAsia="Calibri" w:hAnsi="Calibri"/>
          <w:sz w:val="20"/>
          <w:szCs w:val="20"/>
          <w:color w:val="auto"/>
        </w:rPr>
        <w:t>“Business” means the business of a type carried on by the Company or by any other company in the Group at the date of your employment terminates, including but not limited to the placing or broking of insurance or reinsurance world-wide and ancillary services, the provision of the risk management or risk transfer advise or due diligence on mergers and acquisitons.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alibri" w:cs="Calibri" w:eastAsia="Calibri" w:hAnsi="Calibri"/>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71" w:right="439" w:bottom="1440" w:gutter="0" w:footer="0" w:header="0"/>
        </w:sectPr>
      </w:pPr>
    </w:p>
    <w:bookmarkStart w:id="147" w:name="page148"/>
    <w:bookmarkEnd w:id="147"/>
    <w:p>
      <w:pPr>
        <w:spacing w:after="0" w:line="234" w:lineRule="auto"/>
        <w:rPr>
          <w:sz w:val="20"/>
          <w:szCs w:val="20"/>
          <w:color w:val="auto"/>
        </w:rPr>
      </w:pPr>
      <w:r>
        <w:rPr>
          <w:rFonts w:ascii="Calibri" w:cs="Calibri" w:eastAsia="Calibri" w:hAnsi="Calibri"/>
          <w:sz w:val="20"/>
          <w:szCs w:val="20"/>
          <w:color w:val="auto"/>
        </w:rPr>
        <w:t>“Intermediary” means any person, frm or company by or through or with whom or which the Business is introduced and/or facilitated on behalf of an insured or reassured whether or not such intermediary derives any fnancial beneft from the arrangement.</w:t>
      </w:r>
    </w:p>
    <w:p>
      <w:pPr>
        <w:spacing w:after="0" w:line="200" w:lineRule="exact"/>
        <w:rPr>
          <w:sz w:val="20"/>
          <w:szCs w:val="20"/>
          <w:color w:val="auto"/>
        </w:rPr>
      </w:pPr>
    </w:p>
    <w:p>
      <w:pPr>
        <w:spacing w:after="0" w:line="335" w:lineRule="exact"/>
        <w:rPr>
          <w:sz w:val="20"/>
          <w:szCs w:val="20"/>
          <w:color w:val="auto"/>
        </w:rPr>
      </w:pPr>
    </w:p>
    <w:p>
      <w:pPr>
        <w:ind w:right="120"/>
        <w:spacing w:after="0" w:line="235" w:lineRule="auto"/>
        <w:rPr>
          <w:sz w:val="20"/>
          <w:szCs w:val="20"/>
          <w:color w:val="auto"/>
        </w:rPr>
      </w:pPr>
      <w:r>
        <w:rPr>
          <w:rFonts w:ascii="Calibri" w:cs="Calibri" w:eastAsia="Calibri" w:hAnsi="Calibri"/>
          <w:sz w:val="20"/>
          <w:szCs w:val="20"/>
          <w:color w:val="auto"/>
        </w:rPr>
        <w:t>“Prospectve Client” means any person, frm, company or other organisaton engaged in substantve negotatons (which have not yet fnally been concluded) with the Company or with any other company in the Group in the 12 month period up to the date your employment terminates for the supply of services by the Company or any other company in the Group in relaton to the Business.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alibri" w:cs="Calibri" w:eastAsia="Calibri" w:hAnsi="Calibri"/>
          <w:sz w:val="20"/>
          <w:szCs w:val="20"/>
          <w:color w:val="auto"/>
        </w:rPr>
        <w:t>“Global Policy Manual” means the Willis Group Holdings Limited Global Policy Manual.</w:t>
      </w:r>
    </w:p>
    <w:p>
      <w:pPr>
        <w:spacing w:after="0" w:line="13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Signed for and on behalf</w:t>
      </w:r>
    </w:p>
    <w:p>
      <w:pPr>
        <w:spacing w:after="0" w:line="238" w:lineRule="auto"/>
        <w:rPr>
          <w:sz w:val="20"/>
          <w:szCs w:val="20"/>
          <w:color w:val="auto"/>
        </w:rPr>
      </w:pPr>
      <w:r>
        <w:rPr>
          <w:rFonts w:ascii="Calibri" w:cs="Calibri" w:eastAsia="Calibri" w:hAnsi="Calibri"/>
          <w:sz w:val="20"/>
          <w:szCs w:val="20"/>
          <w:b w:val="1"/>
          <w:bCs w:val="1"/>
          <w:color w:val="auto"/>
        </w:rPr>
        <w:t>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972820</wp:posOffset>
            </wp:positionH>
            <wp:positionV relativeFrom="paragraph">
              <wp:posOffset>20955</wp:posOffset>
            </wp:positionV>
            <wp:extent cx="1472565" cy="70231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98">
                      <a:extLst>
                        <a:ext uri="{28A0092B-C50C-407E-A947-70E740481C1C}"/>
                      </a:extLst>
                    </a:blip>
                    <a:srcRect/>
                    <a:stretch>
                      <a:fillRect/>
                    </a:stretch>
                  </pic:blipFill>
                  <pic:spPr bwMode="auto">
                    <a:xfrm>
                      <a:off x="0" y="0"/>
                      <a:ext cx="1472565" cy="70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I have read and understood the Terms and Conditons stated in the Contract of Employment document and I confrm my acceptance of them.</w:t>
      </w:r>
    </w:p>
    <w:p>
      <w:pPr>
        <w:spacing w:after="0" w:line="200" w:lineRule="exact"/>
        <w:rPr>
          <w:sz w:val="20"/>
          <w:szCs w:val="20"/>
          <w:color w:val="auto"/>
        </w:rPr>
      </w:pPr>
    </w:p>
    <w:p>
      <w:pPr>
        <w:spacing w:after="0" w:line="325" w:lineRule="exact"/>
        <w:rPr>
          <w:sz w:val="20"/>
          <w:szCs w:val="20"/>
          <w:color w:val="auto"/>
        </w:rPr>
      </w:pPr>
    </w:p>
    <w:p>
      <w:pPr>
        <w:spacing w:after="0"/>
        <w:tabs>
          <w:tab w:leader="none" w:pos="780" w:val="left"/>
        </w:tabs>
        <w:rPr>
          <w:sz w:val="20"/>
          <w:szCs w:val="20"/>
          <w:color w:val="auto"/>
        </w:rPr>
      </w:pPr>
      <w:r>
        <w:rPr>
          <w:rFonts w:ascii="Calibri" w:cs="Calibri" w:eastAsia="Calibri" w:hAnsi="Calibri"/>
          <w:sz w:val="20"/>
          <w:szCs w:val="20"/>
          <w:b w:val="1"/>
          <w:bCs w:val="1"/>
          <w:color w:val="auto"/>
        </w:rPr>
        <w:t>Signed:</w:t>
      </w:r>
      <w:r>
        <w:rPr>
          <w:sz w:val="20"/>
          <w:szCs w:val="20"/>
          <w:color w:val="auto"/>
        </w:rPr>
        <w:tab/>
      </w:r>
      <w:r>
        <w:rPr>
          <w:rFonts w:ascii="Calibri" w:cs="Calibri" w:eastAsia="Calibri" w:hAnsi="Calibri"/>
          <w:sz w:val="20"/>
          <w:szCs w:val="20"/>
          <w:color w:val="auto"/>
        </w:rPr>
        <w:t>/s/ Adam L. Garrard</w:t>
      </w:r>
    </w:p>
    <w:p>
      <w:pPr>
        <w:spacing w:after="0" w:line="200" w:lineRule="exact"/>
        <w:rPr>
          <w:sz w:val="20"/>
          <w:szCs w:val="20"/>
          <w:color w:val="auto"/>
        </w:rPr>
      </w:pPr>
    </w:p>
    <w:p>
      <w:pPr>
        <w:spacing w:after="0" w:line="338" w:lineRule="exact"/>
        <w:rPr>
          <w:sz w:val="20"/>
          <w:szCs w:val="20"/>
          <w:color w:val="auto"/>
        </w:rPr>
      </w:pPr>
    </w:p>
    <w:p>
      <w:pPr>
        <w:spacing w:after="0"/>
        <w:tabs>
          <w:tab w:leader="none" w:pos="760" w:val="left"/>
        </w:tabs>
        <w:rPr>
          <w:sz w:val="20"/>
          <w:szCs w:val="20"/>
          <w:color w:val="auto"/>
        </w:rPr>
      </w:pPr>
      <w:r>
        <w:rPr>
          <w:rFonts w:ascii="Calibri" w:cs="Calibri" w:eastAsia="Calibri" w:hAnsi="Calibri"/>
          <w:sz w:val="20"/>
          <w:szCs w:val="20"/>
          <w:b w:val="1"/>
          <w:bCs w:val="1"/>
          <w:color w:val="auto"/>
        </w:rPr>
        <w:t>Date:</w:t>
      </w:r>
      <w:r>
        <w:rPr>
          <w:sz w:val="20"/>
          <w:szCs w:val="20"/>
          <w:color w:val="auto"/>
        </w:rPr>
        <w:tab/>
      </w:r>
      <w:r>
        <w:rPr>
          <w:rFonts w:ascii="Calibri" w:cs="Calibri" w:eastAsia="Calibri" w:hAnsi="Calibri"/>
          <w:sz w:val="20"/>
          <w:szCs w:val="20"/>
          <w:color w:val="auto"/>
        </w:rPr>
        <w:t>July 9, 2009</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alibri" w:cs="Calibri" w:eastAsia="Calibri" w:hAnsi="Calibri"/>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358" w:right="55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were the subsidiaries of the Company as of December 31, 2022:</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Company Name</w:t>
            </w:r>
          </w:p>
        </w:tc>
        <w:tc>
          <w:tcPr>
            <w:tcW w:w="50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4"/>
                <w:szCs w:val="14"/>
                <w:color w:val="auto"/>
              </w:rPr>
              <w:t>Country of Incorporation / Organization</w:t>
            </w:r>
          </w:p>
        </w:tc>
      </w:tr>
      <w:tr>
        <w:trPr>
          <w:trHeight w:val="236"/>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Gras Savoye Algerie Services</w:t>
            </w:r>
          </w:p>
        </w:tc>
        <w:tc>
          <w:tcPr>
            <w:tcW w:w="502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Algeria</w:t>
            </w:r>
          </w:p>
        </w:tc>
      </w:tr>
      <w:tr>
        <w:trPr>
          <w:trHeight w:val="238"/>
        </w:trPr>
        <w:tc>
          <w:tcPr>
            <w:tcW w:w="6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Asifina S.A.</w:t>
            </w:r>
          </w:p>
        </w:tc>
        <w:tc>
          <w:tcPr>
            <w:tcW w:w="5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Argentina</w:t>
            </w:r>
          </w:p>
        </w:tc>
      </w:tr>
      <w:tr>
        <w:trPr>
          <w:trHeight w:val="247"/>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WFD Consultores S.A.</w:t>
            </w:r>
          </w:p>
        </w:tc>
        <w:tc>
          <w:tcPr>
            <w:tcW w:w="502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Argentina</w:t>
            </w:r>
          </w:p>
        </w:tc>
      </w:tr>
      <w:tr>
        <w:trPr>
          <w:trHeight w:val="238"/>
        </w:trPr>
        <w:tc>
          <w:tcPr>
            <w:tcW w:w="6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Argentina S.A.</w:t>
            </w:r>
          </w:p>
        </w:tc>
        <w:tc>
          <w:tcPr>
            <w:tcW w:w="5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Argentina</w:t>
            </w:r>
          </w:p>
        </w:tc>
      </w:tr>
      <w:tr>
        <w:trPr>
          <w:trHeight w:val="247"/>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Consultores S.A.</w:t>
            </w:r>
          </w:p>
        </w:tc>
        <w:tc>
          <w:tcPr>
            <w:tcW w:w="502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Argentina</w:t>
            </w:r>
          </w:p>
        </w:tc>
      </w:tr>
      <w:tr>
        <w:trPr>
          <w:trHeight w:val="238"/>
        </w:trPr>
        <w:tc>
          <w:tcPr>
            <w:tcW w:w="6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Corredores de Reaseguros S.A.</w:t>
            </w:r>
          </w:p>
        </w:tc>
        <w:tc>
          <w:tcPr>
            <w:tcW w:w="5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Argentina</w:t>
            </w:r>
          </w:p>
        </w:tc>
      </w:tr>
      <w:tr>
        <w:trPr>
          <w:trHeight w:val="247"/>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Aerosure Asia Pacific Pty Ltd</w:t>
            </w:r>
          </w:p>
        </w:tc>
        <w:tc>
          <w:tcPr>
            <w:tcW w:w="502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Australia</w:t>
            </w:r>
          </w:p>
        </w:tc>
      </w:tr>
      <w:tr>
        <w:trPr>
          <w:trHeight w:val="238"/>
        </w:trPr>
        <w:tc>
          <w:tcPr>
            <w:tcW w:w="6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CKA Risk Solutions Pty Ltd</w:t>
            </w:r>
          </w:p>
        </w:tc>
        <w:tc>
          <w:tcPr>
            <w:tcW w:w="5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Australia</w:t>
            </w:r>
          </w:p>
        </w:tc>
      </w:tr>
      <w:tr>
        <w:trPr>
          <w:trHeight w:val="247"/>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Cortex Global Risk Australia Pty Limited</w:t>
            </w:r>
          </w:p>
        </w:tc>
        <w:tc>
          <w:tcPr>
            <w:tcW w:w="502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Australia</w:t>
            </w:r>
          </w:p>
        </w:tc>
      </w:tr>
      <w:tr>
        <w:trPr>
          <w:trHeight w:val="238"/>
        </w:trPr>
        <w:tc>
          <w:tcPr>
            <w:tcW w:w="6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Cortex Global Risk Pty Limited</w:t>
            </w:r>
          </w:p>
        </w:tc>
        <w:tc>
          <w:tcPr>
            <w:tcW w:w="5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Australia</w:t>
            </w:r>
          </w:p>
        </w:tc>
      </w:tr>
      <w:tr>
        <w:trPr>
          <w:trHeight w:val="247"/>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Richard Oliver Underwriting Managers Pty Ltd</w:t>
            </w:r>
          </w:p>
        </w:tc>
        <w:tc>
          <w:tcPr>
            <w:tcW w:w="502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Australia</w:t>
            </w:r>
          </w:p>
        </w:tc>
      </w:tr>
      <w:tr>
        <w:trPr>
          <w:trHeight w:val="238"/>
        </w:trPr>
        <w:tc>
          <w:tcPr>
            <w:tcW w:w="6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Risk Capital Advisors Australia Pty Limited</w:t>
            </w:r>
          </w:p>
        </w:tc>
        <w:tc>
          <w:tcPr>
            <w:tcW w:w="5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Australia</w:t>
            </w:r>
          </w:p>
        </w:tc>
      </w:tr>
      <w:tr>
        <w:trPr>
          <w:trHeight w:val="247"/>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Risk Capital Advisors Pty Limited</w:t>
            </w:r>
          </w:p>
        </w:tc>
        <w:tc>
          <w:tcPr>
            <w:tcW w:w="502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Australia</w:t>
            </w:r>
          </w:p>
        </w:tc>
      </w:tr>
      <w:tr>
        <w:trPr>
          <w:trHeight w:val="238"/>
        </w:trPr>
        <w:tc>
          <w:tcPr>
            <w:tcW w:w="6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Watson Australia Pty Ltd</w:t>
            </w:r>
          </w:p>
        </w:tc>
        <w:tc>
          <w:tcPr>
            <w:tcW w:w="5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Australia</w:t>
            </w:r>
          </w:p>
        </w:tc>
      </w:tr>
      <w:tr>
        <w:trPr>
          <w:trHeight w:val="247"/>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Superannuation Pty Ltd</w:t>
            </w:r>
          </w:p>
        </w:tc>
        <w:tc>
          <w:tcPr>
            <w:tcW w:w="502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Australia</w:t>
            </w:r>
          </w:p>
        </w:tc>
      </w:tr>
      <w:tr>
        <w:trPr>
          <w:trHeight w:val="238"/>
        </w:trPr>
        <w:tc>
          <w:tcPr>
            <w:tcW w:w="6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Trinity Processing Services (Australia) Pty Ltd</w:t>
            </w:r>
          </w:p>
        </w:tc>
        <w:tc>
          <w:tcPr>
            <w:tcW w:w="5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Australia</w:t>
            </w:r>
          </w:p>
        </w:tc>
      </w:tr>
      <w:tr>
        <w:trPr>
          <w:trHeight w:val="247"/>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Australia Group Services Pty Ltd</w:t>
            </w:r>
          </w:p>
        </w:tc>
        <w:tc>
          <w:tcPr>
            <w:tcW w:w="502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Australia</w:t>
            </w:r>
          </w:p>
        </w:tc>
      </w:tr>
      <w:tr>
        <w:trPr>
          <w:trHeight w:val="238"/>
        </w:trPr>
        <w:tc>
          <w:tcPr>
            <w:tcW w:w="6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Australia Limited</w:t>
            </w:r>
          </w:p>
        </w:tc>
        <w:tc>
          <w:tcPr>
            <w:tcW w:w="5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Australia</w:t>
            </w:r>
          </w:p>
        </w:tc>
      </w:tr>
      <w:tr>
        <w:trPr>
          <w:trHeight w:val="247"/>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Employee Benefits Pty Ltd</w:t>
            </w:r>
          </w:p>
        </w:tc>
        <w:tc>
          <w:tcPr>
            <w:tcW w:w="502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Australia</w:t>
            </w:r>
          </w:p>
        </w:tc>
      </w:tr>
      <w:tr>
        <w:trPr>
          <w:trHeight w:val="238"/>
        </w:trPr>
        <w:tc>
          <w:tcPr>
            <w:tcW w:w="6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Australia Holdings Limited</w:t>
            </w:r>
          </w:p>
        </w:tc>
        <w:tc>
          <w:tcPr>
            <w:tcW w:w="5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Australia</w:t>
            </w:r>
          </w:p>
        </w:tc>
      </w:tr>
      <w:tr>
        <w:trPr>
          <w:trHeight w:val="247"/>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Wycomp Pty Ltd</w:t>
            </w:r>
          </w:p>
        </w:tc>
        <w:tc>
          <w:tcPr>
            <w:tcW w:w="502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Australia</w:t>
            </w:r>
          </w:p>
        </w:tc>
      </w:tr>
      <w:tr>
        <w:trPr>
          <w:trHeight w:val="238"/>
        </w:trPr>
        <w:tc>
          <w:tcPr>
            <w:tcW w:w="6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Austria GmbH</w:t>
            </w:r>
          </w:p>
        </w:tc>
        <w:tc>
          <w:tcPr>
            <w:tcW w:w="5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Austria</w:t>
            </w:r>
          </w:p>
        </w:tc>
      </w:tr>
      <w:tr>
        <w:trPr>
          <w:trHeight w:val="247"/>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Unity Willis Towers Watson Corp.</w:t>
            </w:r>
          </w:p>
        </w:tc>
        <w:tc>
          <w:tcPr>
            <w:tcW w:w="502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Bahamas</w:t>
            </w:r>
          </w:p>
        </w:tc>
      </w:tr>
      <w:tr>
        <w:trPr>
          <w:trHeight w:val="238"/>
        </w:trPr>
        <w:tc>
          <w:tcPr>
            <w:tcW w:w="6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Consulting</w:t>
            </w:r>
          </w:p>
        </w:tc>
        <w:tc>
          <w:tcPr>
            <w:tcW w:w="5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Belgium</w:t>
            </w:r>
          </w:p>
        </w:tc>
      </w:tr>
      <w:tr>
        <w:trPr>
          <w:trHeight w:val="247"/>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SA/NV</w:t>
            </w:r>
          </w:p>
        </w:tc>
        <w:tc>
          <w:tcPr>
            <w:tcW w:w="502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Belgium</w:t>
            </w:r>
          </w:p>
        </w:tc>
      </w:tr>
      <w:tr>
        <w:trPr>
          <w:trHeight w:val="238"/>
        </w:trPr>
        <w:tc>
          <w:tcPr>
            <w:tcW w:w="6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MERIDIAN INSURANCE COMPANY LIMITED</w:t>
            </w:r>
          </w:p>
        </w:tc>
        <w:tc>
          <w:tcPr>
            <w:tcW w:w="5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Bermuda</w:t>
            </w:r>
          </w:p>
        </w:tc>
      </w:tr>
      <w:tr>
        <w:trPr>
          <w:trHeight w:val="247"/>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PPH Limited</w:t>
            </w:r>
          </w:p>
        </w:tc>
        <w:tc>
          <w:tcPr>
            <w:tcW w:w="502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Bermuda</w:t>
            </w:r>
          </w:p>
        </w:tc>
      </w:tr>
      <w:tr>
        <w:trPr>
          <w:trHeight w:val="238"/>
        </w:trPr>
        <w:tc>
          <w:tcPr>
            <w:tcW w:w="6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RePlace Holding LLC</w:t>
            </w:r>
          </w:p>
        </w:tc>
        <w:tc>
          <w:tcPr>
            <w:tcW w:w="5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Bermuda</w:t>
            </w:r>
          </w:p>
        </w:tc>
      </w:tr>
      <w:tr>
        <w:trPr>
          <w:trHeight w:val="247"/>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(Bermuda) Ltd.</w:t>
            </w:r>
          </w:p>
        </w:tc>
        <w:tc>
          <w:tcPr>
            <w:tcW w:w="502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Bermuda</w:t>
            </w:r>
          </w:p>
        </w:tc>
      </w:tr>
      <w:tr>
        <w:trPr>
          <w:trHeight w:val="238"/>
        </w:trPr>
        <w:tc>
          <w:tcPr>
            <w:tcW w:w="6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(Bermuda) Limited</w:t>
            </w:r>
          </w:p>
        </w:tc>
        <w:tc>
          <w:tcPr>
            <w:tcW w:w="5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Bermuda</w:t>
            </w:r>
          </w:p>
        </w:tc>
      </w:tr>
      <w:tr>
        <w:trPr>
          <w:trHeight w:val="247"/>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Investment Holding (Bermuda) Limited</w:t>
            </w:r>
          </w:p>
        </w:tc>
        <w:tc>
          <w:tcPr>
            <w:tcW w:w="502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Bermuda</w:t>
            </w:r>
          </w:p>
        </w:tc>
      </w:tr>
      <w:tr>
        <w:trPr>
          <w:trHeight w:val="238"/>
        </w:trPr>
        <w:tc>
          <w:tcPr>
            <w:tcW w:w="6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Management (Bermuda) Limited</w:t>
            </w:r>
          </w:p>
        </w:tc>
        <w:tc>
          <w:tcPr>
            <w:tcW w:w="5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Bermuda</w:t>
            </w:r>
          </w:p>
        </w:tc>
      </w:tr>
      <w:tr>
        <w:trPr>
          <w:trHeight w:val="247"/>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WTW Bermuda Holdings Ltd.</w:t>
            </w:r>
          </w:p>
        </w:tc>
        <w:tc>
          <w:tcPr>
            <w:tcW w:w="502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Bermuda</w:t>
            </w:r>
          </w:p>
        </w:tc>
      </w:tr>
      <w:tr>
        <w:trPr>
          <w:trHeight w:val="238"/>
        </w:trPr>
        <w:tc>
          <w:tcPr>
            <w:tcW w:w="6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Sertec Servicos Tecnicos de Inspecao, Levantamentos e Avaliacoes Ltda</w:t>
            </w:r>
          </w:p>
        </w:tc>
        <w:tc>
          <w:tcPr>
            <w:tcW w:w="5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Brazil</w:t>
            </w:r>
          </w:p>
        </w:tc>
      </w:tr>
      <w:tr>
        <w:trPr>
          <w:trHeight w:val="247"/>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Consultoria Ltda.</w:t>
            </w:r>
          </w:p>
        </w:tc>
        <w:tc>
          <w:tcPr>
            <w:tcW w:w="502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Brazil</w:t>
            </w:r>
          </w:p>
        </w:tc>
      </w:tr>
      <w:tr>
        <w:trPr>
          <w:trHeight w:val="238"/>
        </w:trPr>
        <w:tc>
          <w:tcPr>
            <w:tcW w:w="6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WFB Partipacoes Ltda</w:t>
            </w:r>
          </w:p>
        </w:tc>
        <w:tc>
          <w:tcPr>
            <w:tcW w:w="5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Brazil</w:t>
            </w:r>
          </w:p>
        </w:tc>
      </w:tr>
      <w:tr>
        <w:trPr>
          <w:trHeight w:val="247"/>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Affinity Corretores de Seguros Ltda</w:t>
            </w:r>
          </w:p>
        </w:tc>
        <w:tc>
          <w:tcPr>
            <w:tcW w:w="502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Brazil</w:t>
            </w:r>
          </w:p>
        </w:tc>
      </w:tr>
      <w:tr>
        <w:trPr>
          <w:trHeight w:val="238"/>
        </w:trPr>
        <w:tc>
          <w:tcPr>
            <w:tcW w:w="6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Corretora de Resseguros Ltda</w:t>
            </w:r>
          </w:p>
        </w:tc>
        <w:tc>
          <w:tcPr>
            <w:tcW w:w="5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Brazil</w:t>
            </w:r>
          </w:p>
        </w:tc>
      </w:tr>
      <w:tr>
        <w:trPr>
          <w:trHeight w:val="247"/>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Corretores de Seguros Ltda</w:t>
            </w:r>
          </w:p>
        </w:tc>
        <w:tc>
          <w:tcPr>
            <w:tcW w:w="502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Brazil</w:t>
            </w:r>
          </w:p>
        </w:tc>
      </w:tr>
      <w:tr>
        <w:trPr>
          <w:trHeight w:val="238"/>
        </w:trPr>
        <w:tc>
          <w:tcPr>
            <w:tcW w:w="6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York Vale Corretora e Administradora de Seguros Limitada</w:t>
            </w:r>
          </w:p>
        </w:tc>
        <w:tc>
          <w:tcPr>
            <w:tcW w:w="5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Brazil</w:t>
            </w:r>
          </w:p>
        </w:tc>
      </w:tr>
      <w:tr>
        <w:trPr>
          <w:trHeight w:val="247"/>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Gras Savoye (Cambodia) Insurance Broker Plc</w:t>
            </w:r>
          </w:p>
        </w:tc>
        <w:tc>
          <w:tcPr>
            <w:tcW w:w="502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Cambodia</w:t>
            </w:r>
          </w:p>
        </w:tc>
      </w:tr>
      <w:tr>
        <w:trPr>
          <w:trHeight w:val="238"/>
        </w:trPr>
        <w:tc>
          <w:tcPr>
            <w:tcW w:w="6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Cameroun SA</w:t>
            </w:r>
          </w:p>
        </w:tc>
        <w:tc>
          <w:tcPr>
            <w:tcW w:w="5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Cameroon</w:t>
            </w:r>
          </w:p>
        </w:tc>
      </w:tr>
      <w:tr>
        <w:trPr>
          <w:trHeight w:val="247"/>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Integra Capital Limited</w:t>
            </w:r>
          </w:p>
        </w:tc>
        <w:tc>
          <w:tcPr>
            <w:tcW w:w="502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Canada</w:t>
            </w:r>
          </w:p>
        </w:tc>
      </w:tr>
      <w:tr>
        <w:trPr>
          <w:trHeight w:val="238"/>
        </w:trPr>
        <w:tc>
          <w:tcPr>
            <w:tcW w:w="6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Watson Canada Inc.</w:t>
            </w:r>
          </w:p>
        </w:tc>
        <w:tc>
          <w:tcPr>
            <w:tcW w:w="5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Canada</w:t>
            </w:r>
          </w:p>
        </w:tc>
      </w:tr>
      <w:tr>
        <w:trPr>
          <w:trHeight w:val="247"/>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Canada Inc.</w:t>
            </w:r>
          </w:p>
        </w:tc>
        <w:tc>
          <w:tcPr>
            <w:tcW w:w="502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Canada</w:t>
            </w:r>
          </w:p>
        </w:tc>
      </w:tr>
      <w:tr>
        <w:trPr>
          <w:trHeight w:val="238"/>
        </w:trPr>
        <w:tc>
          <w:tcPr>
            <w:tcW w:w="6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Holding Company of Canada Inc.</w:t>
            </w:r>
          </w:p>
        </w:tc>
        <w:tc>
          <w:tcPr>
            <w:tcW w:w="5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Canada</w:t>
            </w:r>
          </w:p>
        </w:tc>
      </w:tr>
      <w:tr>
        <w:trPr>
          <w:trHeight w:val="247"/>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Management (Cayman) Limited</w:t>
            </w:r>
          </w:p>
        </w:tc>
        <w:tc>
          <w:tcPr>
            <w:tcW w:w="502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38"/>
        </w:trPr>
        <w:tc>
          <w:tcPr>
            <w:tcW w:w="6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Chile Limitada</w:t>
            </w:r>
          </w:p>
        </w:tc>
        <w:tc>
          <w:tcPr>
            <w:tcW w:w="5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Chile</w:t>
            </w:r>
          </w:p>
        </w:tc>
      </w:tr>
      <w:tr>
        <w:trPr>
          <w:trHeight w:val="247"/>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Consultores S.A.</w:t>
            </w:r>
          </w:p>
        </w:tc>
        <w:tc>
          <w:tcPr>
            <w:tcW w:w="502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Chile</w:t>
            </w:r>
          </w:p>
        </w:tc>
      </w:tr>
      <w:tr>
        <w:trPr>
          <w:trHeight w:val="238"/>
        </w:trPr>
        <w:tc>
          <w:tcPr>
            <w:tcW w:w="6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Corredores de Reaseguros Limitada</w:t>
            </w:r>
          </w:p>
        </w:tc>
        <w:tc>
          <w:tcPr>
            <w:tcW w:w="50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Chile</w:t>
            </w:r>
          </w:p>
        </w:tc>
      </w:tr>
      <w:tr>
        <w:trPr>
          <w:trHeight w:val="247"/>
        </w:trPr>
        <w:tc>
          <w:tcPr>
            <w:tcW w:w="6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S.A. Corredores de Seguros</w:t>
            </w:r>
          </w:p>
        </w:tc>
        <w:tc>
          <w:tcPr>
            <w:tcW w:w="502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Chile</w:t>
            </w:r>
          </w:p>
        </w:tc>
      </w:tr>
      <w:tr>
        <w:trPr>
          <w:trHeight w:val="115"/>
        </w:trPr>
        <w:tc>
          <w:tcPr>
            <w:tcW w:w="6220" w:type="dxa"/>
            <w:vAlign w:val="bottom"/>
            <w:tcBorders>
              <w:bottom w:val="single" w:sz="8" w:color="9A9A9A"/>
            </w:tcBorders>
          </w:tcPr>
          <w:p>
            <w:pPr>
              <w:spacing w:after="0"/>
              <w:rPr>
                <w:sz w:val="9"/>
                <w:szCs w:val="9"/>
                <w:color w:val="auto"/>
              </w:rPr>
            </w:pPr>
          </w:p>
        </w:tc>
        <w:tc>
          <w:tcPr>
            <w:tcW w:w="50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8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80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41"/>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Watson Consulting (Shanghai) Limited</w:t>
            </w:r>
          </w:p>
        </w:tc>
        <w:tc>
          <w:tcPr>
            <w:tcW w:w="5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China</w:t>
            </w:r>
          </w:p>
        </w:tc>
      </w:tr>
      <w:tr>
        <w:trPr>
          <w:trHeight w:val="249"/>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Management Consulting (Shenzhen) Co., Ltd.</w:t>
            </w:r>
          </w:p>
        </w:tc>
        <w:tc>
          <w:tcPr>
            <w:tcW w:w="528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China</w:t>
            </w:r>
          </w:p>
        </w:tc>
      </w:tr>
      <w:tr>
        <w:trPr>
          <w:trHeight w:val="238"/>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(Shanghai) Business Consulting Co., Ltd.</w:t>
            </w:r>
          </w:p>
        </w:tc>
        <w:tc>
          <w:tcPr>
            <w:tcW w:w="5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China</w:t>
            </w:r>
          </w:p>
        </w:tc>
      </w:tr>
      <w:tr>
        <w:trPr>
          <w:trHeight w:val="247"/>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Insurance Brokers Co. Ltd.</w:t>
            </w:r>
          </w:p>
        </w:tc>
        <w:tc>
          <w:tcPr>
            <w:tcW w:w="528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China</w:t>
            </w:r>
          </w:p>
        </w:tc>
      </w:tr>
      <w:tr>
        <w:trPr>
          <w:trHeight w:val="238"/>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Colombia Corredores de Reaseguros S.A.</w:t>
            </w:r>
          </w:p>
        </w:tc>
        <w:tc>
          <w:tcPr>
            <w:tcW w:w="5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Colombia</w:t>
            </w:r>
          </w:p>
        </w:tc>
      </w:tr>
      <w:tr>
        <w:trPr>
          <w:trHeight w:val="247"/>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Colombia Corredores de Seguros S.A.</w:t>
            </w:r>
          </w:p>
        </w:tc>
        <w:tc>
          <w:tcPr>
            <w:tcW w:w="528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Colombia</w:t>
            </w:r>
          </w:p>
        </w:tc>
      </w:tr>
      <w:tr>
        <w:trPr>
          <w:trHeight w:val="238"/>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Consultores Colombia S.A.S</w:t>
            </w:r>
          </w:p>
        </w:tc>
        <w:tc>
          <w:tcPr>
            <w:tcW w:w="5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Colombia</w:t>
            </w:r>
          </w:p>
        </w:tc>
      </w:tr>
      <w:tr>
        <w:trPr>
          <w:trHeight w:val="247"/>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Congo SA</w:t>
            </w:r>
          </w:p>
        </w:tc>
        <w:tc>
          <w:tcPr>
            <w:tcW w:w="528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Congo</w:t>
            </w:r>
          </w:p>
        </w:tc>
      </w:tr>
      <w:tr>
        <w:trPr>
          <w:trHeight w:val="238"/>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Unity Corredores de Seguros S.A.</w:t>
            </w:r>
          </w:p>
        </w:tc>
        <w:tc>
          <w:tcPr>
            <w:tcW w:w="5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Costa Rica</w:t>
            </w:r>
          </w:p>
        </w:tc>
      </w:tr>
      <w:tr>
        <w:trPr>
          <w:trHeight w:val="247"/>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Cote d’Ivoire SA</w:t>
            </w:r>
          </w:p>
        </w:tc>
        <w:tc>
          <w:tcPr>
            <w:tcW w:w="528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Cote d’Ivoire</w:t>
            </w:r>
          </w:p>
        </w:tc>
      </w:tr>
      <w:tr>
        <w:trPr>
          <w:trHeight w:val="238"/>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d.d</w:t>
            </w:r>
          </w:p>
        </w:tc>
        <w:tc>
          <w:tcPr>
            <w:tcW w:w="5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Croatia</w:t>
            </w:r>
          </w:p>
        </w:tc>
      </w:tr>
      <w:tr>
        <w:trPr>
          <w:trHeight w:val="247"/>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JRC Metropolitan Trust Holdings Limited</w:t>
            </w:r>
          </w:p>
        </w:tc>
        <w:tc>
          <w:tcPr>
            <w:tcW w:w="528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Cyprus</w:t>
            </w:r>
          </w:p>
        </w:tc>
      </w:tr>
      <w:tr>
        <w:trPr>
          <w:trHeight w:val="238"/>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Insurance Broking (Czech Republic) s.r.o.</w:t>
            </w:r>
          </w:p>
        </w:tc>
        <w:tc>
          <w:tcPr>
            <w:tcW w:w="5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Czech Republic</w:t>
            </w:r>
          </w:p>
        </w:tc>
      </w:tr>
      <w:tr>
        <w:trPr>
          <w:trHeight w:val="247"/>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s.r.o.</w:t>
            </w:r>
          </w:p>
        </w:tc>
        <w:tc>
          <w:tcPr>
            <w:tcW w:w="528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Czech Republic</w:t>
            </w:r>
          </w:p>
        </w:tc>
      </w:tr>
      <w:tr>
        <w:trPr>
          <w:trHeight w:val="238"/>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WIA I/S</w:t>
            </w:r>
          </w:p>
        </w:tc>
        <w:tc>
          <w:tcPr>
            <w:tcW w:w="5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Denmark</w:t>
            </w:r>
          </w:p>
        </w:tc>
      </w:tr>
      <w:tr>
        <w:trPr>
          <w:trHeight w:val="247"/>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A/S</w:t>
            </w:r>
          </w:p>
        </w:tc>
        <w:tc>
          <w:tcPr>
            <w:tcW w:w="528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Denmark</w:t>
            </w:r>
          </w:p>
        </w:tc>
      </w:tr>
      <w:tr>
        <w:trPr>
          <w:trHeight w:val="238"/>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Consultancy Services I/S</w:t>
            </w:r>
          </w:p>
        </w:tc>
        <w:tc>
          <w:tcPr>
            <w:tcW w:w="5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Denmark</w:t>
            </w:r>
          </w:p>
        </w:tc>
      </w:tr>
      <w:tr>
        <w:trPr>
          <w:trHeight w:val="247"/>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I/S</w:t>
            </w:r>
          </w:p>
        </w:tc>
        <w:tc>
          <w:tcPr>
            <w:tcW w:w="528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Denmark</w:t>
            </w:r>
          </w:p>
        </w:tc>
      </w:tr>
      <w:tr>
        <w:trPr>
          <w:trHeight w:val="238"/>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Egypt SAE</w:t>
            </w:r>
          </w:p>
        </w:tc>
        <w:tc>
          <w:tcPr>
            <w:tcW w:w="5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Egypt</w:t>
            </w:r>
          </w:p>
        </w:tc>
      </w:tr>
      <w:tr>
        <w:trPr>
          <w:trHeight w:val="247"/>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Re Egypt SAE</w:t>
            </w:r>
          </w:p>
        </w:tc>
        <w:tc>
          <w:tcPr>
            <w:tcW w:w="528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Egypt</w:t>
            </w:r>
          </w:p>
        </w:tc>
      </w:tr>
      <w:tr>
        <w:trPr>
          <w:trHeight w:val="238"/>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Risk Solutions Egypt SAE</w:t>
            </w:r>
          </w:p>
        </w:tc>
        <w:tc>
          <w:tcPr>
            <w:tcW w:w="5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Egypt</w:t>
            </w:r>
          </w:p>
        </w:tc>
      </w:tr>
      <w:tr>
        <w:trPr>
          <w:trHeight w:val="247"/>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WTW Corredores de Seguros El Salvador, S.A. de C.V.</w:t>
            </w:r>
          </w:p>
        </w:tc>
        <w:tc>
          <w:tcPr>
            <w:tcW w:w="528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El Salvador</w:t>
            </w:r>
          </w:p>
        </w:tc>
      </w:tr>
      <w:tr>
        <w:trPr>
          <w:trHeight w:val="238"/>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Gras Savoye Guinea SA</w:t>
            </w:r>
          </w:p>
        </w:tc>
        <w:tc>
          <w:tcPr>
            <w:tcW w:w="5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Equatorial Guinea</w:t>
            </w:r>
          </w:p>
        </w:tc>
      </w:tr>
      <w:tr>
        <w:trPr>
          <w:trHeight w:val="247"/>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Oy Ab</w:t>
            </w:r>
          </w:p>
        </w:tc>
        <w:tc>
          <w:tcPr>
            <w:tcW w:w="528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Finland</w:t>
            </w:r>
          </w:p>
        </w:tc>
      </w:tr>
      <w:tr>
        <w:trPr>
          <w:trHeight w:val="238"/>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France</w:t>
            </w:r>
          </w:p>
        </w:tc>
        <w:tc>
          <w:tcPr>
            <w:tcW w:w="5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France</w:t>
            </w:r>
          </w:p>
        </w:tc>
      </w:tr>
      <w:tr>
        <w:trPr>
          <w:trHeight w:val="247"/>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Dero</w:t>
            </w:r>
          </w:p>
        </w:tc>
        <w:tc>
          <w:tcPr>
            <w:tcW w:w="528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France</w:t>
            </w:r>
          </w:p>
        </w:tc>
      </w:tr>
      <w:tr>
        <w:trPr>
          <w:trHeight w:val="238"/>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NSA</w:t>
            </w:r>
          </w:p>
        </w:tc>
        <w:tc>
          <w:tcPr>
            <w:tcW w:w="5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France</w:t>
            </w:r>
          </w:p>
        </w:tc>
      </w:tr>
      <w:tr>
        <w:trPr>
          <w:trHeight w:val="247"/>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Sageris</w:t>
            </w:r>
          </w:p>
        </w:tc>
        <w:tc>
          <w:tcPr>
            <w:tcW w:w="528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France</w:t>
            </w:r>
          </w:p>
        </w:tc>
      </w:tr>
      <w:tr>
        <w:trPr>
          <w:trHeight w:val="238"/>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Willis/GS France</w:t>
            </w:r>
          </w:p>
        </w:tc>
        <w:tc>
          <w:tcPr>
            <w:tcW w:w="5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France</w:t>
            </w:r>
          </w:p>
        </w:tc>
      </w:tr>
      <w:tr>
        <w:trPr>
          <w:trHeight w:val="247"/>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SAS</w:t>
            </w:r>
          </w:p>
        </w:tc>
        <w:tc>
          <w:tcPr>
            <w:tcW w:w="528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France</w:t>
            </w:r>
          </w:p>
        </w:tc>
      </w:tr>
      <w:tr>
        <w:trPr>
          <w:trHeight w:val="238"/>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WTW Underwriting Solutions France</w:t>
            </w:r>
          </w:p>
        </w:tc>
        <w:tc>
          <w:tcPr>
            <w:tcW w:w="5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France</w:t>
            </w:r>
          </w:p>
        </w:tc>
      </w:tr>
      <w:tr>
        <w:trPr>
          <w:trHeight w:val="247"/>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Tahiti</w:t>
            </w:r>
          </w:p>
        </w:tc>
        <w:tc>
          <w:tcPr>
            <w:tcW w:w="528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French Polynesia</w:t>
            </w:r>
          </w:p>
        </w:tc>
      </w:tr>
      <w:tr>
        <w:trPr>
          <w:trHeight w:val="238"/>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Gras Savoye Gabon SA</w:t>
            </w:r>
          </w:p>
        </w:tc>
        <w:tc>
          <w:tcPr>
            <w:tcW w:w="5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Gabon</w:t>
            </w:r>
          </w:p>
        </w:tc>
      </w:tr>
      <w:tr>
        <w:trPr>
          <w:trHeight w:val="247"/>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(Dusseldorf) GmbH</w:t>
            </w:r>
          </w:p>
        </w:tc>
        <w:tc>
          <w:tcPr>
            <w:tcW w:w="528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Germany</w:t>
            </w:r>
          </w:p>
        </w:tc>
      </w:tr>
      <w:tr>
        <w:trPr>
          <w:trHeight w:val="238"/>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Assekuranzdienste GmbH</w:t>
            </w:r>
          </w:p>
        </w:tc>
        <w:tc>
          <w:tcPr>
            <w:tcW w:w="5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Germany</w:t>
            </w:r>
          </w:p>
        </w:tc>
      </w:tr>
      <w:tr>
        <w:trPr>
          <w:trHeight w:val="247"/>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GmbH</w:t>
            </w:r>
          </w:p>
        </w:tc>
        <w:tc>
          <w:tcPr>
            <w:tcW w:w="528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Germany</w:t>
            </w:r>
          </w:p>
        </w:tc>
      </w:tr>
      <w:tr>
        <w:trPr>
          <w:trHeight w:val="238"/>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Holding GmbH</w:t>
            </w:r>
          </w:p>
        </w:tc>
        <w:tc>
          <w:tcPr>
            <w:tcW w:w="5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Germany</w:t>
            </w:r>
          </w:p>
        </w:tc>
      </w:tr>
      <w:tr>
        <w:trPr>
          <w:trHeight w:val="247"/>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Investments GmbH</w:t>
            </w:r>
          </w:p>
        </w:tc>
        <w:tc>
          <w:tcPr>
            <w:tcW w:w="528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Germany</w:t>
            </w:r>
          </w:p>
        </w:tc>
      </w:tr>
      <w:tr>
        <w:trPr>
          <w:trHeight w:val="238"/>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Pensionsfonds AG</w:t>
            </w:r>
          </w:p>
        </w:tc>
        <w:tc>
          <w:tcPr>
            <w:tcW w:w="5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Germany</w:t>
            </w:r>
          </w:p>
        </w:tc>
      </w:tr>
      <w:tr>
        <w:trPr>
          <w:trHeight w:val="247"/>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Versicherungsmakler GmbH</w:t>
            </w:r>
          </w:p>
        </w:tc>
        <w:tc>
          <w:tcPr>
            <w:tcW w:w="528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Germany</w:t>
            </w:r>
          </w:p>
        </w:tc>
      </w:tr>
      <w:tr>
        <w:trPr>
          <w:trHeight w:val="238"/>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Versicherungsservice GmbH</w:t>
            </w:r>
          </w:p>
        </w:tc>
        <w:tc>
          <w:tcPr>
            <w:tcW w:w="5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Germany</w:t>
            </w:r>
          </w:p>
        </w:tc>
      </w:tr>
      <w:tr>
        <w:trPr>
          <w:trHeight w:val="247"/>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Vorsorge Trust GmbH</w:t>
            </w:r>
          </w:p>
        </w:tc>
        <w:tc>
          <w:tcPr>
            <w:tcW w:w="528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Germany</w:t>
            </w:r>
          </w:p>
        </w:tc>
      </w:tr>
      <w:tr>
        <w:trPr>
          <w:trHeight w:val="238"/>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WMN GmbH i.L.</w:t>
            </w:r>
          </w:p>
        </w:tc>
        <w:tc>
          <w:tcPr>
            <w:tcW w:w="5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Germany</w:t>
            </w:r>
          </w:p>
        </w:tc>
      </w:tr>
      <w:tr>
        <w:trPr>
          <w:trHeight w:val="247"/>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WV Versicherungsmakler GmbH</w:t>
            </w:r>
          </w:p>
        </w:tc>
        <w:tc>
          <w:tcPr>
            <w:tcW w:w="528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Germany</w:t>
            </w:r>
          </w:p>
        </w:tc>
      </w:tr>
      <w:tr>
        <w:trPr>
          <w:trHeight w:val="238"/>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Zeitinvest-Service GmbH</w:t>
            </w:r>
          </w:p>
        </w:tc>
        <w:tc>
          <w:tcPr>
            <w:tcW w:w="5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Germany</w:t>
            </w:r>
          </w:p>
        </w:tc>
      </w:tr>
      <w:tr>
        <w:trPr>
          <w:trHeight w:val="247"/>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Ghana Ltd</w:t>
            </w:r>
          </w:p>
        </w:tc>
        <w:tc>
          <w:tcPr>
            <w:tcW w:w="528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Ghana</w:t>
            </w:r>
          </w:p>
        </w:tc>
      </w:tr>
      <w:tr>
        <w:trPr>
          <w:trHeight w:val="238"/>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Management (Gibraltar) Limited</w:t>
            </w:r>
          </w:p>
        </w:tc>
        <w:tc>
          <w:tcPr>
            <w:tcW w:w="5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Gibraltar</w:t>
            </w:r>
          </w:p>
        </w:tc>
      </w:tr>
      <w:tr>
        <w:trPr>
          <w:trHeight w:val="247"/>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Greece Insurance Agents Single Member</w:t>
            </w:r>
          </w:p>
        </w:tc>
        <w:tc>
          <w:tcPr>
            <w:tcW w:w="528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Greece</w:t>
            </w:r>
          </w:p>
        </w:tc>
      </w:tr>
      <w:tr>
        <w:trPr>
          <w:trHeight w:val="238"/>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Greece Insurance Brokers S.A.</w:t>
            </w:r>
          </w:p>
        </w:tc>
        <w:tc>
          <w:tcPr>
            <w:tcW w:w="5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Greece</w:t>
            </w:r>
          </w:p>
        </w:tc>
      </w:tr>
      <w:tr>
        <w:trPr>
          <w:trHeight w:val="247"/>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Kendriki Greece Insurance Works S.A.</w:t>
            </w:r>
          </w:p>
        </w:tc>
        <w:tc>
          <w:tcPr>
            <w:tcW w:w="528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Greece</w:t>
            </w:r>
          </w:p>
        </w:tc>
      </w:tr>
      <w:tr>
        <w:trPr>
          <w:trHeight w:val="238"/>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Promotores Unity - Corredores de Seguros, Sociedad Anonima</w:t>
            </w:r>
          </w:p>
        </w:tc>
        <w:tc>
          <w:tcPr>
            <w:tcW w:w="5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Guatemala</w:t>
            </w:r>
          </w:p>
        </w:tc>
      </w:tr>
      <w:tr>
        <w:trPr>
          <w:trHeight w:val="247"/>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Friars Street Insurance Limited</w:t>
            </w:r>
          </w:p>
        </w:tc>
        <w:tc>
          <w:tcPr>
            <w:tcW w:w="528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Guernsey</w:t>
            </w:r>
          </w:p>
        </w:tc>
      </w:tr>
      <w:tr>
        <w:trPr>
          <w:trHeight w:val="238"/>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Lime Street Insurance Guernsey PCC Limited</w:t>
            </w:r>
          </w:p>
        </w:tc>
        <w:tc>
          <w:tcPr>
            <w:tcW w:w="5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Guernsey</w:t>
            </w:r>
          </w:p>
        </w:tc>
      </w:tr>
      <w:tr>
        <w:trPr>
          <w:trHeight w:val="247"/>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Finance (Guernsey) Limited</w:t>
            </w:r>
          </w:p>
        </w:tc>
        <w:tc>
          <w:tcPr>
            <w:tcW w:w="528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Guernsey</w:t>
            </w:r>
          </w:p>
        </w:tc>
      </w:tr>
      <w:tr>
        <w:trPr>
          <w:trHeight w:val="238"/>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Guernsey ICC Limited</w:t>
            </w:r>
          </w:p>
        </w:tc>
        <w:tc>
          <w:tcPr>
            <w:tcW w:w="52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Guernsey</w:t>
            </w:r>
          </w:p>
        </w:tc>
      </w:tr>
      <w:tr>
        <w:trPr>
          <w:trHeight w:val="247"/>
        </w:trPr>
        <w:tc>
          <w:tcPr>
            <w:tcW w:w="5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Holdings (Guernsey) Limited</w:t>
            </w:r>
          </w:p>
        </w:tc>
        <w:tc>
          <w:tcPr>
            <w:tcW w:w="5280" w:type="dxa"/>
            <w:vAlign w:val="bottom"/>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Guernsey</w:t>
            </w:r>
          </w:p>
        </w:tc>
      </w:tr>
      <w:tr>
        <w:trPr>
          <w:trHeight w:val="115"/>
        </w:trPr>
        <w:tc>
          <w:tcPr>
            <w:tcW w:w="5960" w:type="dxa"/>
            <w:vAlign w:val="bottom"/>
            <w:tcBorders>
              <w:bottom w:val="single" w:sz="8" w:color="9A9A9A"/>
            </w:tcBorders>
          </w:tcPr>
          <w:p>
            <w:pPr>
              <w:spacing w:after="0"/>
              <w:rPr>
                <w:sz w:val="9"/>
                <w:szCs w:val="9"/>
                <w:color w:val="auto"/>
              </w:rPr>
            </w:pPr>
          </w:p>
        </w:tc>
        <w:tc>
          <w:tcPr>
            <w:tcW w:w="52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8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80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41"/>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Management (Guernsey) Limited</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Guernsey</w:t>
            </w:r>
          </w:p>
        </w:tc>
      </w:tr>
      <w:tr>
        <w:trPr>
          <w:trHeight w:val="249"/>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Interbroker, Sociedad Anonima de Capital Variable</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Honduras</w:t>
            </w:r>
          </w:p>
        </w:tc>
      </w:tr>
      <w:tr>
        <w:trPr>
          <w:trHeight w:val="238"/>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Watson Hong Kong Limited</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Hong Kong</w:t>
            </w:r>
          </w:p>
        </w:tc>
      </w:tr>
      <w:tr>
        <w:trPr>
          <w:trHeight w:val="247"/>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Investment Services Hong Kong Limited</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Hong Kong</w:t>
            </w:r>
          </w:p>
        </w:tc>
      </w:tr>
      <w:tr>
        <w:trPr>
          <w:trHeight w:val="238"/>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Hong Kong Limited</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Hong Kong</w:t>
            </w:r>
          </w:p>
        </w:tc>
      </w:tr>
      <w:tr>
        <w:trPr>
          <w:trHeight w:val="247"/>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Management (HK) Pty Limited</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Hong Kong</w:t>
            </w:r>
          </w:p>
        </w:tc>
      </w:tr>
      <w:tr>
        <w:trPr>
          <w:trHeight w:val="238"/>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Securities (Hong Kong) Limited</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Hong Kong</w:t>
            </w:r>
          </w:p>
        </w:tc>
      </w:tr>
      <w:tr>
        <w:trPr>
          <w:trHeight w:val="247"/>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Holdings (Hungary) Kft.</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Hungary</w:t>
            </w:r>
          </w:p>
        </w:tc>
      </w:tr>
      <w:tr>
        <w:trPr>
          <w:trHeight w:val="238"/>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Magyarorszag Biztositasi Alkusz es Tanacsado Kft</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Hungary</w:t>
            </w:r>
          </w:p>
        </w:tc>
      </w:tr>
      <w:tr>
        <w:trPr>
          <w:trHeight w:val="247"/>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Acclaris Business Solutions Private Limited</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India</w:t>
            </w:r>
          </w:p>
        </w:tc>
      </w:tr>
      <w:tr>
        <w:trPr>
          <w:trHeight w:val="238"/>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Ternary Risk Consultancy and Management Private Limited</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India</w:t>
            </w:r>
          </w:p>
        </w:tc>
      </w:tr>
      <w:tr>
        <w:trPr>
          <w:trHeight w:val="247"/>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Consulting Services Private Limited</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India</w:t>
            </w:r>
          </w:p>
        </w:tc>
      </w:tr>
      <w:tr>
        <w:trPr>
          <w:trHeight w:val="238"/>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India Insurance Brokers Private Limited</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India</w:t>
            </w:r>
          </w:p>
        </w:tc>
      </w:tr>
      <w:tr>
        <w:trPr>
          <w:trHeight w:val="247"/>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India Private Limited</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India</w:t>
            </w:r>
          </w:p>
        </w:tc>
      </w:tr>
      <w:tr>
        <w:trPr>
          <w:trHeight w:val="238"/>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WTW Global Delivery and Solutions India Private Limited</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India</w:t>
            </w:r>
          </w:p>
        </w:tc>
      </w:tr>
      <w:tr>
        <w:trPr>
          <w:trHeight w:val="247"/>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PT Towers Watson Indonesia</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Indonesia</w:t>
            </w:r>
          </w:p>
        </w:tc>
      </w:tr>
      <w:tr>
        <w:trPr>
          <w:trHeight w:val="238"/>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PT Willis Reinsurance Brokers Indonesia</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Indonesia</w:t>
            </w:r>
          </w:p>
        </w:tc>
      </w:tr>
      <w:tr>
        <w:trPr>
          <w:trHeight w:val="247"/>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PT Willis Towers Watson Insurance Broker Indonesia</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Indonesia</w:t>
            </w:r>
          </w:p>
        </w:tc>
      </w:tr>
      <w:tr>
        <w:trPr>
          <w:trHeight w:val="238"/>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WTW Appaloosa Limited</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Ireland</w:t>
            </w:r>
          </w:p>
        </w:tc>
      </w:tr>
      <w:tr>
        <w:trPr>
          <w:trHeight w:val="247"/>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LifeSight Ireland Trustees DAC</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Ireland</w:t>
            </w:r>
          </w:p>
        </w:tc>
      </w:tr>
      <w:tr>
        <w:trPr>
          <w:trHeight w:val="238"/>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Watson Investment Management (Ireland) Limited</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Ireland</w:t>
            </w:r>
          </w:p>
        </w:tc>
      </w:tr>
      <w:tr>
        <w:trPr>
          <w:trHeight w:val="247"/>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Trustee Principles Limited</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Ireland</w:t>
            </w:r>
          </w:p>
        </w:tc>
      </w:tr>
      <w:tr>
        <w:trPr>
          <w:trHeight w:val="238"/>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GS Ireland Unlimited Company</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Ireland</w:t>
            </w:r>
          </w:p>
        </w:tc>
      </w:tr>
      <w:tr>
        <w:trPr>
          <w:trHeight w:val="247"/>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Human Capital &amp; Benefits Ireland Limited</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Ireland</w:t>
            </w:r>
          </w:p>
        </w:tc>
      </w:tr>
      <w:tr>
        <w:trPr>
          <w:trHeight w:val="238"/>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(Ireland) Limited</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Ireland</w:t>
            </w:r>
          </w:p>
        </w:tc>
      </w:tr>
      <w:tr>
        <w:trPr>
          <w:trHeight w:val="247"/>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EP Unlimited Company</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Ireland</w:t>
            </w:r>
          </w:p>
        </w:tc>
      </w:tr>
      <w:tr>
        <w:trPr>
          <w:trHeight w:val="238"/>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Holdings (Ireland) Limited</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Ireland</w:t>
            </w:r>
          </w:p>
        </w:tc>
      </w:tr>
      <w:tr>
        <w:trPr>
          <w:trHeight w:val="247"/>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Insurances (Ireland) Limited</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Ireland</w:t>
            </w:r>
          </w:p>
        </w:tc>
      </w:tr>
      <w:tr>
        <w:trPr>
          <w:trHeight w:val="238"/>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Life and Pensions Limited</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Ireland</w:t>
            </w:r>
          </w:p>
        </w:tc>
      </w:tr>
      <w:tr>
        <w:trPr>
          <w:trHeight w:val="247"/>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Management (Dublin) Limited</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Ireland</w:t>
            </w:r>
          </w:p>
        </w:tc>
      </w:tr>
      <w:tr>
        <w:trPr>
          <w:trHeight w:val="238"/>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Sub Holdings Unlimited Company</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Ireland</w:t>
            </w:r>
          </w:p>
        </w:tc>
      </w:tr>
      <w:tr>
        <w:trPr>
          <w:trHeight w:val="247"/>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Trade Credit and Surety Limited</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Ireland</w:t>
            </w:r>
          </w:p>
        </w:tc>
      </w:tr>
      <w:tr>
        <w:trPr>
          <w:trHeight w:val="238"/>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Administration (Isle of Man) Limited</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Isle of Man</w:t>
            </w:r>
          </w:p>
        </w:tc>
      </w:tr>
      <w:tr>
        <w:trPr>
          <w:trHeight w:val="247"/>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Management (Isle of Man) Limited</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Isle of Man</w:t>
            </w:r>
          </w:p>
        </w:tc>
      </w:tr>
      <w:tr>
        <w:trPr>
          <w:trHeight w:val="238"/>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Israel General and Marine Insurance Brokers</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Israel</w:t>
            </w:r>
          </w:p>
        </w:tc>
      </w:tr>
      <w:tr>
        <w:trPr>
          <w:trHeight w:val="247"/>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Italia Srl</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Italy</w:t>
            </w:r>
          </w:p>
        </w:tc>
      </w:tr>
      <w:tr>
        <w:trPr>
          <w:trHeight w:val="238"/>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Willconsulting Srl</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Italy</w:t>
            </w:r>
          </w:p>
        </w:tc>
      </w:tr>
      <w:tr>
        <w:trPr>
          <w:trHeight w:val="247"/>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General Agency Srl</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Italy</w:t>
            </w:r>
          </w:p>
        </w:tc>
      </w:tr>
      <w:tr>
        <w:trPr>
          <w:trHeight w:val="238"/>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Italia S.p.A</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Italy</w:t>
            </w:r>
          </w:p>
        </w:tc>
      </w:tr>
      <w:tr>
        <w:trPr>
          <w:trHeight w:val="247"/>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Investment Services K.K.</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Japan</w:t>
            </w:r>
          </w:p>
        </w:tc>
      </w:tr>
      <w:tr>
        <w:trPr>
          <w:trHeight w:val="238"/>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Watson KK</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Japan</w:t>
            </w:r>
          </w:p>
        </w:tc>
      </w:tr>
      <w:tr>
        <w:trPr>
          <w:trHeight w:val="247"/>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Consulting K.K.</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Japan</w:t>
            </w:r>
          </w:p>
        </w:tc>
      </w:tr>
      <w:tr>
        <w:trPr>
          <w:trHeight w:val="238"/>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Japan Holdings K.K.</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Japan</w:t>
            </w:r>
          </w:p>
        </w:tc>
      </w:tr>
      <w:tr>
        <w:trPr>
          <w:trHeight w:val="247"/>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Japan Services K.K.</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Japan</w:t>
            </w:r>
          </w:p>
        </w:tc>
      </w:tr>
      <w:tr>
        <w:trPr>
          <w:trHeight w:val="238"/>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ESOP Management Limited</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Jersey</w:t>
            </w:r>
          </w:p>
        </w:tc>
      </w:tr>
      <w:tr>
        <w:trPr>
          <w:trHeight w:val="247"/>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(Kazakhstan) Insurance Broker LLP</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Kazakhstan</w:t>
            </w:r>
          </w:p>
        </w:tc>
      </w:tr>
      <w:tr>
        <w:trPr>
          <w:trHeight w:val="238"/>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Consulting Korea Limited</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47"/>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Insurance Korea Limited</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38"/>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Investments Korea Limited</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47"/>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Gras Savoye Middle East S.A.L. Courtier d’Assurances</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Lebanon</w:t>
            </w:r>
          </w:p>
        </w:tc>
      </w:tr>
      <w:tr>
        <w:trPr>
          <w:trHeight w:val="238"/>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Lebanon SAL - Insurance Broker</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Lebanon</w:t>
            </w:r>
          </w:p>
        </w:tc>
      </w:tr>
      <w:tr>
        <w:trPr>
          <w:trHeight w:val="247"/>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Perrin Luxembourg Holdings S.a.r.l</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Luxembourg</w:t>
            </w:r>
          </w:p>
        </w:tc>
      </w:tr>
      <w:tr>
        <w:trPr>
          <w:trHeight w:val="238"/>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Watson Wyatt Luxembourg S.a.r.l</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Luxembourg</w:t>
            </w:r>
          </w:p>
        </w:tc>
      </w:tr>
      <w:tr>
        <w:trPr>
          <w:trHeight w:val="247"/>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Luxembourg S.A.</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Luxembourg</w:t>
            </w:r>
          </w:p>
        </w:tc>
      </w:tr>
      <w:tr>
        <w:trPr>
          <w:trHeight w:val="238"/>
        </w:trPr>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Management (Luxembourg)</w:t>
            </w:r>
          </w:p>
        </w:tc>
        <w:tc>
          <w:tcPr>
            <w:tcW w:w="4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Luxembourg</w:t>
            </w:r>
          </w:p>
        </w:tc>
      </w:tr>
      <w:tr>
        <w:trPr>
          <w:trHeight w:val="247"/>
        </w:trPr>
        <w:tc>
          <w:tcPr>
            <w:tcW w:w="62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(Malaysia) Sdn Bhd</w:t>
            </w:r>
          </w:p>
        </w:tc>
        <w:tc>
          <w:tcPr>
            <w:tcW w:w="49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Malaysia</w:t>
            </w:r>
          </w:p>
        </w:tc>
      </w:tr>
      <w:tr>
        <w:trPr>
          <w:trHeight w:val="115"/>
        </w:trPr>
        <w:tc>
          <w:tcPr>
            <w:tcW w:w="6260" w:type="dxa"/>
            <w:vAlign w:val="bottom"/>
            <w:tcBorders>
              <w:bottom w:val="single" w:sz="8" w:color="9A9A9A"/>
            </w:tcBorders>
          </w:tcPr>
          <w:p>
            <w:pPr>
              <w:spacing w:after="0"/>
              <w:rPr>
                <w:sz w:val="9"/>
                <w:szCs w:val="9"/>
                <w:color w:val="auto"/>
              </w:rPr>
            </w:pPr>
          </w:p>
        </w:tc>
        <w:tc>
          <w:tcPr>
            <w:tcW w:w="49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8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80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41"/>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Risk Management (Malaysia) Sdn. Bhd.</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Malaysia</w:t>
            </w:r>
          </w:p>
        </w:tc>
      </w:tr>
      <w:tr>
        <w:trPr>
          <w:trHeight w:val="249"/>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Management (Labuan) Limited</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Malaysia</w:t>
            </w: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Lime Street Insurance PCC Limited</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Malta</w:t>
            </w:r>
          </w:p>
        </w:tc>
      </w:tr>
      <w:tr>
        <w:trPr>
          <w:trHeight w:val="247"/>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Management (Malta) Limited</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Malta</w:t>
            </w: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Services (Malta) Limited</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Malta</w:t>
            </w:r>
          </w:p>
        </w:tc>
      </w:tr>
      <w:tr>
        <w:trPr>
          <w:trHeight w:val="247"/>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(Mauritius) Ltd</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Mauritius</w:t>
            </w: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Carsa Consultores, Agente de Seguros y de Fianzas, S.A. de C.V.</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Mexico</w:t>
            </w:r>
          </w:p>
        </w:tc>
      </w:tr>
      <w:tr>
        <w:trPr>
          <w:trHeight w:val="247"/>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Mexico, Agente de Seguros, S.A. de C.V.</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Mexico</w:t>
            </w: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Mexico, Intermediario de Reaseguro, S.A. de C.V.</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Mexico</w:t>
            </w:r>
          </w:p>
        </w:tc>
      </w:tr>
      <w:tr>
        <w:trPr>
          <w:trHeight w:val="247"/>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Consultores Mexico, S. de R.L. de C.V.</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Mexico</w:t>
            </w: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Agente de Seguros y de Fianzas, S.A. de C.V.</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Mexico</w:t>
            </w:r>
          </w:p>
        </w:tc>
      </w:tr>
      <w:tr>
        <w:trPr>
          <w:trHeight w:val="247"/>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Netherlands B.V.</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Netherlands</w:t>
            </w: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Watson Pension Services B.V.</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Netherlands</w:t>
            </w:r>
          </w:p>
        </w:tc>
      </w:tr>
      <w:tr>
        <w:trPr>
          <w:trHeight w:val="247"/>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B.V.</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Netherlands</w:t>
            </w: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Europe B.V.</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Netherlands</w:t>
            </w:r>
          </w:p>
        </w:tc>
      </w:tr>
      <w:tr>
        <w:trPr>
          <w:trHeight w:val="247"/>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Nederland B.V.</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Netherlands</w:t>
            </w: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Netherlands Holdings B.V.</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Netherlands</w:t>
            </w:r>
          </w:p>
        </w:tc>
      </w:tr>
      <w:tr>
        <w:trPr>
          <w:trHeight w:val="247"/>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WTW Global Treasury Company B.V.</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Netherlands</w:t>
            </w: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Nouvelle-Calédonie</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New Caledonia</w:t>
            </w:r>
          </w:p>
        </w:tc>
      </w:tr>
      <w:tr>
        <w:trPr>
          <w:trHeight w:val="247"/>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New Zealand Limited</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New Zealand</w:t>
            </w: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Invercasa Correduria De Seguros, S.A.</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Nicaragua</w:t>
            </w:r>
          </w:p>
        </w:tc>
      </w:tr>
      <w:tr>
        <w:trPr>
          <w:trHeight w:val="247"/>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Nigeria Limited</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Nigeria</w:t>
            </w: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Forsikringspartner AS</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Norway</w:t>
            </w:r>
          </w:p>
        </w:tc>
      </w:tr>
      <w:tr>
        <w:trPr>
          <w:trHeight w:val="247"/>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AS</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Norway</w:t>
            </w: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Ducruet Risk Services Inc</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Panama</w:t>
            </w:r>
          </w:p>
        </w:tc>
      </w:tr>
      <w:tr>
        <w:trPr>
          <w:trHeight w:val="247"/>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L.R. Ducruet E Hijos, S.A.</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Panama</w:t>
            </w: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Unity Willis Towers Watson Panama Services, S.A.</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Panama</w:t>
            </w:r>
          </w:p>
        </w:tc>
      </w:tr>
      <w:tr>
        <w:trPr>
          <w:trHeight w:val="247"/>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Cignium Technologies S.A.C.</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Peru</w:t>
            </w: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Corredores de Reaseguros S.A.</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Peru</w:t>
            </w:r>
          </w:p>
        </w:tc>
      </w:tr>
      <w:tr>
        <w:trPr>
          <w:trHeight w:val="247"/>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Corredores de Seguros S.A.</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Peru</w:t>
            </w: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WTW Perú Consultores y Comercializadores S.A.C.</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Peru</w:t>
            </w:r>
          </w:p>
        </w:tc>
      </w:tr>
      <w:tr>
        <w:trPr>
          <w:trHeight w:val="247"/>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Global Business Services, Inc.</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Philippines</w:t>
            </w: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Philippines, Inc.</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Philippines</w:t>
            </w:r>
          </w:p>
        </w:tc>
      </w:tr>
      <w:tr>
        <w:trPr>
          <w:trHeight w:val="247"/>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WTW Insurance and Reinsurance Brokers Philippines, Inc.</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Philippines</w:t>
            </w: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Biuro Doradztwa I Posrednictwa Ubezpieczeniowego E.C.A. Sp. z o.o</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Poland</w:t>
            </w:r>
          </w:p>
        </w:tc>
      </w:tr>
      <w:tr>
        <w:trPr>
          <w:trHeight w:val="247"/>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Polska Sp. z o.o.</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Poland</w:t>
            </w: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WTW Consulting Sp. z o.o.</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Poland</w:t>
            </w:r>
          </w:p>
        </w:tc>
      </w:tr>
      <w:tr>
        <w:trPr>
          <w:trHeight w:val="247"/>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WTW Services Sp. z o.o.</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Poland</w:t>
            </w: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NSA Portugal SA</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Portugal</w:t>
            </w:r>
          </w:p>
        </w:tc>
      </w:tr>
      <w:tr>
        <w:trPr>
          <w:trHeight w:val="247"/>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(Portugal) Unipessoal, Limitada</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Portugal</w:t>
            </w: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 Corretores de Seguros S.A.</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Portugal</w:t>
            </w:r>
          </w:p>
        </w:tc>
      </w:tr>
      <w:tr>
        <w:trPr>
          <w:trHeight w:val="247"/>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Puerto Rico Insurance Brokerage Inc.</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Puerto Rico</w:t>
            </w: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Consulting Romania Srl</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Romania</w:t>
            </w:r>
          </w:p>
        </w:tc>
      </w:tr>
      <w:tr>
        <w:trPr>
          <w:trHeight w:val="247"/>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Romania-Broker De Asigurare Reasigurare Srl</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Romania</w:t>
            </w: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Watson Saudi Arabia LLC</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Saudi Arabia</w:t>
            </w:r>
          </w:p>
        </w:tc>
      </w:tr>
      <w:tr>
        <w:trPr>
          <w:trHeight w:val="247"/>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GIE GRAS SAVOYE SERVICES</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Senegal</w:t>
            </w: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Consulting Senegal SA</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Senegal</w:t>
            </w:r>
          </w:p>
        </w:tc>
      </w:tr>
      <w:tr>
        <w:trPr>
          <w:trHeight w:val="247"/>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Senegal SA</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Senegal</w:t>
            </w: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Drustvo za posredovanje u osiguranju WILLIS TOWERS WATSON DOO BEOGRAD</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Serbia</w:t>
            </w:r>
          </w:p>
        </w:tc>
      </w:tr>
      <w:tr>
        <w:trPr>
          <w:trHeight w:val="247"/>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Brokers (Singapore) Pte. Ltd.</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Singapore</w:t>
            </w: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Consulting (Singapore) Pte. Ltd.</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Singapore</w:t>
            </w:r>
          </w:p>
        </w:tc>
      </w:tr>
      <w:tr>
        <w:trPr>
          <w:trHeight w:val="247"/>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Health &amp; Benefits (SG) Pte. Ltd.</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Singapore</w:t>
            </w: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Management (Singapore) Pte. Limited</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Singapore</w:t>
            </w:r>
          </w:p>
        </w:tc>
      </w:tr>
      <w:tr>
        <w:trPr>
          <w:trHeight w:val="247"/>
        </w:trPr>
        <w:tc>
          <w:tcPr>
            <w:tcW w:w="6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Actuary Online (Pty) Ltd</w:t>
            </w:r>
          </w:p>
        </w:tc>
        <w:tc>
          <w:tcPr>
            <w:tcW w:w="44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South Africa</w:t>
            </w:r>
          </w:p>
        </w:tc>
      </w:tr>
      <w:tr>
        <w:trPr>
          <w:trHeight w:val="234"/>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Mutual Risk Advisory Services (Pty) Ltd</w:t>
            </w:r>
          </w:p>
        </w:tc>
        <w:tc>
          <w:tcPr>
            <w:tcW w:w="4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South Africa</w:t>
            </w:r>
          </w:p>
        </w:tc>
      </w:tr>
      <w:tr>
        <w:trPr>
          <w:trHeight w:val="123"/>
        </w:trPr>
        <w:tc>
          <w:tcPr>
            <w:tcW w:w="676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8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80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43"/>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Retirement Online (Pty) Limited</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South Africa</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Risk Capital Advisors Africa (Pty) Ltd</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South Africa</w:t>
            </w:r>
          </w:p>
        </w:tc>
      </w:tr>
      <w:tr>
        <w:trPr>
          <w:trHeight w:val="247"/>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(Pty) Ltd</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South Africa</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Watson South Africa Holdings (Pty) Limited</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South Africa</w:t>
            </w:r>
          </w:p>
        </w:tc>
      </w:tr>
      <w:tr>
        <w:trPr>
          <w:trHeight w:val="247"/>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South Africa (Pty) Limited</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South Africa</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Bolgey Holding S.A.</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Spain</w:t>
            </w:r>
          </w:p>
        </w:tc>
      </w:tr>
      <w:tr>
        <w:trPr>
          <w:trHeight w:val="247"/>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de Espana SA</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Spain</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Affinity Agencia de Seguros Vinculada, S.L.</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Spain</w:t>
            </w:r>
          </w:p>
        </w:tc>
      </w:tr>
      <w:tr>
        <w:trPr>
          <w:trHeight w:val="247"/>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Consulting S.L.</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Spain</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Iberia Correduria de Seguros y Reaseguros SAU</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Spain</w:t>
            </w:r>
          </w:p>
        </w:tc>
      </w:tr>
      <w:tr>
        <w:trPr>
          <w:trHeight w:val="247"/>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Agencia de Suscripcion, S.L.U.</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Spain</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Services, S.L.</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Spain</w:t>
            </w:r>
          </w:p>
        </w:tc>
      </w:tr>
      <w:tr>
        <w:trPr>
          <w:trHeight w:val="247"/>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Consulting AB</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Sweden</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Holding AB</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Sweden</w:t>
            </w:r>
          </w:p>
        </w:tc>
      </w:tr>
      <w:tr>
        <w:trPr>
          <w:trHeight w:val="247"/>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Management (Stockholm) AB</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Sweden</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Sweden AB</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Sweden</w:t>
            </w:r>
          </w:p>
        </w:tc>
      </w:tr>
      <w:tr>
        <w:trPr>
          <w:trHeight w:val="247"/>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Asmarin Verwaltungs AG</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Switzerland</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Watson AG</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Switzerland</w:t>
            </w:r>
          </w:p>
        </w:tc>
      </w:tr>
      <w:tr>
        <w:trPr>
          <w:trHeight w:val="247"/>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AG</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Switzerland</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Faber AG i.L.</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Switzerland</w:t>
            </w:r>
          </w:p>
        </w:tc>
      </w:tr>
      <w:tr>
        <w:trPr>
          <w:trHeight w:val="247"/>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Holdings (Switzerland) GmbH</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Switzerland</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Taiwan Limited</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Taiwan (Province of China)</w:t>
            </w:r>
          </w:p>
        </w:tc>
      </w:tr>
      <w:tr>
        <w:trPr>
          <w:trHeight w:val="247"/>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(Thailand) Limited</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Thailand</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Danismanlik Limited Sirketi</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Turkey</w:t>
            </w:r>
          </w:p>
        </w:tc>
      </w:tr>
      <w:tr>
        <w:trPr>
          <w:trHeight w:val="247"/>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Sigorta Ve Reasurans Brokerligi Anonim Sirketi</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Turkey</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Uganda Insurance Brokers Limited</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Uganda</w:t>
            </w:r>
          </w:p>
        </w:tc>
      </w:tr>
      <w:tr>
        <w:trPr>
          <w:trHeight w:val="247"/>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Gras Savoye Ukraine, Limited Liability Company</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Ukraine</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Insurance Brokers LLC</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Ukraine</w:t>
            </w:r>
          </w:p>
        </w:tc>
      </w:tr>
      <w:tr>
        <w:trPr>
          <w:trHeight w:val="247"/>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Middle East FZ-LLC</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Acappella Transactional Real Estate Limited</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Acclimatise Group Ltd</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Medical Management Limited</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EMB Management Holdings Limited</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Faber Global Limited</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Friars Street Trustees Limited</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G360 UND LIMITED</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PMI HEALTH GROUP LIMITED</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PMIHG HOLDINGS LIMITED</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Private Medicine Intermediaries Limited</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Saville Assessment Limited</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Saville Consulting Limited</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Sovereign Marine &amp; General Insurance Company Limited (In Scheme of Arrangement)</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Special Contingency Risks Limited</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 I Limited</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The Wyatt Company (UK) Limited</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Wyatt Company Holdings Limited</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Perrin (UK) Trustee Company Limited</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Perrin Europe Limited</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Perrin UK Holdings Limited</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Watson Global 2 Limited</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Global 3 Limited</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Watson Global Holdings Limited</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Global Limited</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Watson Investment Management Limited</w:t>
            </w:r>
          </w:p>
        </w:tc>
        <w:tc>
          <w:tcPr>
            <w:tcW w:w="4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Limited</w:t>
            </w:r>
          </w:p>
        </w:tc>
        <w:tc>
          <w:tcPr>
            <w:tcW w:w="44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115"/>
        </w:trPr>
        <w:tc>
          <w:tcPr>
            <w:tcW w:w="6780" w:type="dxa"/>
            <w:vAlign w:val="bottom"/>
            <w:tcBorders>
              <w:bottom w:val="single" w:sz="8" w:color="9A9A9A"/>
            </w:tcBorders>
          </w:tcPr>
          <w:p>
            <w:pPr>
              <w:spacing w:after="0"/>
              <w:rPr>
                <w:sz w:val="9"/>
                <w:szCs w:val="9"/>
                <w:color w:val="auto"/>
              </w:rPr>
            </w:pPr>
          </w:p>
        </w:tc>
        <w:tc>
          <w:tcPr>
            <w:tcW w:w="44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8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80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41"/>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Watson Pension Scheme Trustees Limited</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9"/>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Software Limited</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Watson UK Limited</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Trinity Acquisition Plc</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Trinity Processing Services Limited</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TXW Limited</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Watson Wyatt (UK) Acquisitions 1 Limited</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Watson Wyatt (UK) Acquisitions 2 Limited</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Watson Wyatt European Investment Holdings Limited</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Watson Wyatt European Region Limited</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Watson Wyatt Holdings (Europe) Limited</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Watson Wyatt Holdings Limited</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Watson Wyatt Insurance &amp; Financial Services Consulting Holdings Limited</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Watson Wyatt International Limited</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Corporate Director Services Limited</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Corroon (FR) Limited</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Corroon Financial Planning Limited</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Corroon Licensing Limited</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Corroon Nominees Limited</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Employee Benefits Limited</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Faber Limited</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Faber Underwriting Agencies Limited</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Faber Underwriting Services Limited</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Group Limited</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Group Medical Trust Limited</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Group Services Limited</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GS UK HOLDINGS LIMITED</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GS UK LIMITED</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International Limited</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Investment UK Holdings Limited</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Japan Limited</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Limited</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Overseas Investments Limited</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Pension Trustees Limited</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PMI Group Limited</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Structured Financial Solutions Limited</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Assessment Limited</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FRANCE HOLDINGS LIMITED</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UK HOLDINGS 2 LIMITED</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UK HOLDINGS LIMITED</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UK HOLOCENE LIMITED</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2017 Tranzfer Insurance Solutions LLC</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Acclaris Holdings, Inc.</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Acclaris, Inc.</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Acclimatise North America Inc.</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States – New York</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Anhelo Insurance Solutions LLC</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DirectHealth.com LLC</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Encore 1551 IC, Inc.</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States – Vermont</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Encore Insurance PCC, Limited</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States – Vermont</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Encore One IC, Inc.</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States – Vermont</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Extend Health, LLC</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Extend Insurance Services LLC</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States – Utah</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Liazon Benefits, Inc.</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Liazon Corporation</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3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MG LLC</w:t>
            </w:r>
          </w:p>
        </w:tc>
        <w:tc>
          <w:tcPr>
            <w:tcW w:w="49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47"/>
        </w:trPr>
        <w:tc>
          <w:tcPr>
            <w:tcW w:w="6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Omni Direct, Inc.</w:t>
            </w:r>
          </w:p>
        </w:tc>
        <w:tc>
          <w:tcPr>
            <w:tcW w:w="490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United States – Florida</w:t>
            </w:r>
          </w:p>
        </w:tc>
      </w:tr>
      <w:tr>
        <w:trPr>
          <w:trHeight w:val="115"/>
        </w:trPr>
        <w:tc>
          <w:tcPr>
            <w:tcW w:w="6340" w:type="dxa"/>
            <w:vAlign w:val="bottom"/>
            <w:tcBorders>
              <w:bottom w:val="single" w:sz="8" w:color="9A9A9A"/>
            </w:tcBorders>
          </w:tcPr>
          <w:p>
            <w:pPr>
              <w:spacing w:after="0"/>
              <w:rPr>
                <w:sz w:val="9"/>
                <w:szCs w:val="9"/>
                <w:color w:val="auto"/>
              </w:rPr>
            </w:pPr>
          </w:p>
        </w:tc>
        <w:tc>
          <w:tcPr>
            <w:tcW w:w="49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8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8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41"/>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Premium Funding Associates, Inc.</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Connecticut</w:t>
            </w:r>
          </w:p>
        </w:tc>
      </w:tr>
      <w:tr>
        <w:trPr>
          <w:trHeight w:val="249"/>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Professional Consultants Insurance Company, Inc.</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Vermont</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Q3M Insurance Solutions, LLC</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Quantum 3 Media, LLC</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RSDIG Risk Purchasing Group, LLC</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Tennessee</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Safe Rock Insurance Company</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Vermont</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 Contingency Risks Inc.</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Perrin Capital Corp.</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Watson Delaware Holdings LLC</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Investment Services, Inc.</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Watson Latin America Holdings LLC</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Towers Watson Middle East Holdings LLC</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Towers Watson Retiree Insurance Services, Inc.</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TPF&amp;C International, Inc.</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Pennsylvania</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Tranzact Holdings Delaware, Inc.</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Tranzact Holdings, LLC</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Tranzmobile, LLC</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Tranzsubco I Corp.</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Tranzsubco II Corp.</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Tranzutary DirectHealth Holdings, LLC</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Tranzutary Holdings LLC</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Tranzutary Insurance Solutions LLC</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Tru Broker, LLC</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Ohio</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TruBridge, Inc.</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Ohio</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TZ Alpha Insurance Solutions LLC</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TZ Cancins, LLC</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TZ Guatemala Holdings LLC</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TZ Holdings, Inc.</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TZ Insurance Solutions LLC</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TZ Midco, Inc.</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TZ Purchaser, Inc.</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TZ Purchaser II, Inc.</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Verita CSG, Inc.</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New Hampshire</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VTH Solutions LLC</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Watson Wyatt European Investment Holdings 1, LLC</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Watson Wyatt European Investment Holdings, Inc.</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Watson Wyatt International, Inc.</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Nevada</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Westport Financial Services, LLC</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Westport HRH, LLC</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Administrative Services Corporation</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Tennessee</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Americas Administration, Inc.</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Tennessee</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HRH, Inc.</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Virginia</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NA Inc.</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North America Inc.</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North American Holding Company</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of Michigan, Inc.</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Michigan</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of New Jersey, Inc.</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New Jersey</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Personal Lines, LLC</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Processing Services, Inc.</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New York</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Programs of Connecticut, Inc.</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Connecticut</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Services LLC</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Analytical Insurance Services Inc.</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CAC, Inc.</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Florida</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Insurance Services West, Inc.</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California</w:t>
            </w:r>
          </w:p>
        </w:tc>
      </w:tr>
      <w:tr>
        <w:trPr>
          <w:trHeight w:val="238"/>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Management (Vermont), Ltd.</w:t>
            </w:r>
          </w:p>
        </w:tc>
        <w:tc>
          <w:tcPr>
            <w:tcW w:w="55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United States – Vermont</w:t>
            </w:r>
          </w:p>
        </w:tc>
      </w:tr>
      <w:tr>
        <w:trPr>
          <w:trHeight w:val="247"/>
        </w:trPr>
        <w:tc>
          <w:tcPr>
            <w:tcW w:w="5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Midwest, Inc.</w:t>
            </w:r>
          </w:p>
        </w:tc>
        <w:tc>
          <w:tcPr>
            <w:tcW w:w="5580" w:type="dxa"/>
            <w:vAlign w:val="bottom"/>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United States – Ohio</w:t>
            </w:r>
          </w:p>
        </w:tc>
      </w:tr>
      <w:tr>
        <w:trPr>
          <w:trHeight w:val="115"/>
        </w:trPr>
        <w:tc>
          <w:tcPr>
            <w:tcW w:w="5660" w:type="dxa"/>
            <w:vAlign w:val="bottom"/>
            <w:tcBorders>
              <w:bottom w:val="single" w:sz="8" w:color="9A9A9A"/>
            </w:tcBorders>
          </w:tcPr>
          <w:p>
            <w:pPr>
              <w:spacing w:after="0"/>
              <w:rPr>
                <w:sz w:val="9"/>
                <w:szCs w:val="9"/>
                <w:color w:val="auto"/>
              </w:rPr>
            </w:pPr>
          </w:p>
        </w:tc>
        <w:tc>
          <w:tcPr>
            <w:tcW w:w="55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8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8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41"/>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Northeast, Inc.</w:t>
            </w:r>
          </w:p>
        </w:tc>
        <w:tc>
          <w:tcPr>
            <w:tcW w:w="56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United States – New York</w:t>
            </w:r>
          </w:p>
        </w:tc>
      </w:tr>
      <w:tr>
        <w:trPr>
          <w:trHeight w:val="249"/>
        </w:trPr>
        <w:tc>
          <w:tcPr>
            <w:tcW w:w="5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Risk Purchasing Group, Inc.</w:t>
            </w:r>
          </w:p>
        </w:tc>
        <w:tc>
          <w:tcPr>
            <w:tcW w:w="5640" w:type="dxa"/>
            <w:vAlign w:val="bottom"/>
            <w:shd w:val="clear" w:color="auto" w:fill="CFF0FC"/>
          </w:tcPr>
          <w:p>
            <w:pPr>
              <w:ind w:left="160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38"/>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Securities, LLC</w:t>
            </w:r>
          </w:p>
        </w:tc>
        <w:tc>
          <w:tcPr>
            <w:tcW w:w="56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47"/>
        </w:trPr>
        <w:tc>
          <w:tcPr>
            <w:tcW w:w="5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Southeast, Inc.</w:t>
            </w:r>
          </w:p>
        </w:tc>
        <w:tc>
          <w:tcPr>
            <w:tcW w:w="5640" w:type="dxa"/>
            <w:vAlign w:val="bottom"/>
            <w:shd w:val="clear" w:color="auto" w:fill="CFF0FC"/>
          </w:tcPr>
          <w:p>
            <w:pPr>
              <w:ind w:left="1600"/>
              <w:spacing w:after="0"/>
              <w:rPr>
                <w:sz w:val="20"/>
                <w:szCs w:val="20"/>
                <w:color w:val="auto"/>
              </w:rPr>
            </w:pPr>
            <w:r>
              <w:rPr>
                <w:rFonts w:ascii="Times New Roman" w:cs="Times New Roman" w:eastAsia="Times New Roman" w:hAnsi="Times New Roman"/>
                <w:sz w:val="18"/>
                <w:szCs w:val="18"/>
                <w:color w:val="auto"/>
              </w:rPr>
              <w:t>United States – Tennessee</w:t>
            </w:r>
          </w:p>
        </w:tc>
      </w:tr>
      <w:tr>
        <w:trPr>
          <w:trHeight w:val="238"/>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US LLC</w:t>
            </w:r>
          </w:p>
        </w:tc>
        <w:tc>
          <w:tcPr>
            <w:tcW w:w="56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47"/>
        </w:trPr>
        <w:tc>
          <w:tcPr>
            <w:tcW w:w="5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US Holding Company, LLC</w:t>
            </w:r>
          </w:p>
        </w:tc>
        <w:tc>
          <w:tcPr>
            <w:tcW w:w="5640" w:type="dxa"/>
            <w:vAlign w:val="bottom"/>
            <w:shd w:val="clear" w:color="auto" w:fill="CFF0FC"/>
          </w:tcPr>
          <w:p>
            <w:pPr>
              <w:ind w:left="160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38"/>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WTW Delaware Holdings LLC</w:t>
            </w:r>
          </w:p>
        </w:tc>
        <w:tc>
          <w:tcPr>
            <w:tcW w:w="56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United States – Delaware</w:t>
            </w:r>
          </w:p>
        </w:tc>
      </w:tr>
      <w:tr>
        <w:trPr>
          <w:trHeight w:val="247"/>
        </w:trPr>
        <w:tc>
          <w:tcPr>
            <w:tcW w:w="5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Uruguay S.A.</w:t>
            </w:r>
          </w:p>
        </w:tc>
        <w:tc>
          <w:tcPr>
            <w:tcW w:w="5640" w:type="dxa"/>
            <w:vAlign w:val="bottom"/>
            <w:shd w:val="clear" w:color="auto" w:fill="CFF0FC"/>
          </w:tcPr>
          <w:p>
            <w:pPr>
              <w:ind w:left="1600"/>
              <w:spacing w:after="0"/>
              <w:rPr>
                <w:sz w:val="20"/>
                <w:szCs w:val="20"/>
                <w:color w:val="auto"/>
              </w:rPr>
            </w:pPr>
            <w:r>
              <w:rPr>
                <w:rFonts w:ascii="Times New Roman" w:cs="Times New Roman" w:eastAsia="Times New Roman" w:hAnsi="Times New Roman"/>
                <w:sz w:val="18"/>
                <w:szCs w:val="18"/>
                <w:color w:val="auto"/>
              </w:rPr>
              <w:t>Uruguay</w:t>
            </w:r>
          </w:p>
        </w:tc>
      </w:tr>
      <w:tr>
        <w:trPr>
          <w:trHeight w:val="238"/>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Administradora de Riesgos Parsalud, S.A.</w:t>
            </w:r>
          </w:p>
        </w:tc>
        <w:tc>
          <w:tcPr>
            <w:tcW w:w="56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Venezuela, Bolivarian Republic of</w:t>
            </w:r>
          </w:p>
        </w:tc>
      </w:tr>
      <w:tr>
        <w:trPr>
          <w:trHeight w:val="247"/>
        </w:trPr>
        <w:tc>
          <w:tcPr>
            <w:tcW w:w="5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C.A. Prima Asesoria Tecnica</w:t>
            </w:r>
          </w:p>
        </w:tc>
        <w:tc>
          <w:tcPr>
            <w:tcW w:w="5640" w:type="dxa"/>
            <w:vAlign w:val="bottom"/>
            <w:shd w:val="clear" w:color="auto" w:fill="CFF0FC"/>
          </w:tcPr>
          <w:p>
            <w:pPr>
              <w:ind w:left="1600"/>
              <w:spacing w:after="0"/>
              <w:rPr>
                <w:sz w:val="20"/>
                <w:szCs w:val="20"/>
                <w:color w:val="auto"/>
              </w:rPr>
            </w:pPr>
            <w:r>
              <w:rPr>
                <w:rFonts w:ascii="Times New Roman" w:cs="Times New Roman" w:eastAsia="Times New Roman" w:hAnsi="Times New Roman"/>
                <w:sz w:val="18"/>
                <w:szCs w:val="18"/>
                <w:color w:val="auto"/>
              </w:rPr>
              <w:t>Venezuela, Bolivarian Republic of</w:t>
            </w:r>
          </w:p>
        </w:tc>
      </w:tr>
      <w:tr>
        <w:trPr>
          <w:trHeight w:val="238"/>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Rontarca Willis, C.A. Sociedad de corretaje de seguros</w:t>
            </w:r>
          </w:p>
        </w:tc>
        <w:tc>
          <w:tcPr>
            <w:tcW w:w="56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Venezuela, Bolivarian Republic of</w:t>
            </w:r>
          </w:p>
        </w:tc>
      </w:tr>
      <w:tr>
        <w:trPr>
          <w:trHeight w:val="247"/>
        </w:trPr>
        <w:tc>
          <w:tcPr>
            <w:tcW w:w="5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Corretaje de Reaseguros S.A.</w:t>
            </w:r>
          </w:p>
        </w:tc>
        <w:tc>
          <w:tcPr>
            <w:tcW w:w="5640" w:type="dxa"/>
            <w:vAlign w:val="bottom"/>
            <w:shd w:val="clear" w:color="auto" w:fill="CFF0FC"/>
          </w:tcPr>
          <w:p>
            <w:pPr>
              <w:ind w:left="1600"/>
              <w:spacing w:after="0"/>
              <w:rPr>
                <w:sz w:val="20"/>
                <w:szCs w:val="20"/>
                <w:color w:val="auto"/>
              </w:rPr>
            </w:pPr>
            <w:r>
              <w:rPr>
                <w:rFonts w:ascii="Times New Roman" w:cs="Times New Roman" w:eastAsia="Times New Roman" w:hAnsi="Times New Roman"/>
                <w:sz w:val="18"/>
                <w:szCs w:val="18"/>
                <w:color w:val="auto"/>
              </w:rPr>
              <w:t>Venezuela, Bolivarian Republic of</w:t>
            </w:r>
          </w:p>
        </w:tc>
      </w:tr>
      <w:tr>
        <w:trPr>
          <w:trHeight w:val="238"/>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Willis Towers Watson Consultores C.A.</w:t>
            </w:r>
          </w:p>
        </w:tc>
        <w:tc>
          <w:tcPr>
            <w:tcW w:w="56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Venezuela, Bolivarian Republic of</w:t>
            </w:r>
          </w:p>
        </w:tc>
      </w:tr>
      <w:tr>
        <w:trPr>
          <w:trHeight w:val="247"/>
        </w:trPr>
        <w:tc>
          <w:tcPr>
            <w:tcW w:w="5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Willis Towers Watson Vietnam Insurance Broker</w:t>
            </w:r>
          </w:p>
        </w:tc>
        <w:tc>
          <w:tcPr>
            <w:tcW w:w="5640" w:type="dxa"/>
            <w:vAlign w:val="bottom"/>
            <w:shd w:val="clear" w:color="auto" w:fill="CFF0FC"/>
          </w:tcPr>
          <w:p>
            <w:pPr>
              <w:ind w:left="1600"/>
              <w:spacing w:after="0"/>
              <w:rPr>
                <w:sz w:val="20"/>
                <w:szCs w:val="20"/>
                <w:color w:val="auto"/>
              </w:rPr>
            </w:pPr>
            <w:r>
              <w:rPr>
                <w:rFonts w:ascii="Times New Roman" w:cs="Times New Roman" w:eastAsia="Times New Roman" w:hAnsi="Times New Roman"/>
                <w:sz w:val="18"/>
                <w:szCs w:val="18"/>
                <w:color w:val="auto"/>
              </w:rPr>
              <w:t>Vietnam</w:t>
            </w:r>
          </w:p>
        </w:tc>
      </w:tr>
      <w:tr>
        <w:trPr>
          <w:trHeight w:val="234"/>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Unity Group Holdings, Corp.</w:t>
            </w:r>
          </w:p>
        </w:tc>
        <w:tc>
          <w:tcPr>
            <w:tcW w:w="56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Virgin Islands, British</w:t>
            </w:r>
          </w:p>
        </w:tc>
      </w:tr>
      <w:tr>
        <w:trPr>
          <w:trHeight w:val="123"/>
        </w:trPr>
        <w:tc>
          <w:tcPr>
            <w:tcW w:w="5600" w:type="dxa"/>
            <w:vAlign w:val="bottom"/>
            <w:tcBorders>
              <w:bottom w:val="single" w:sz="8" w:color="9A9A9A"/>
            </w:tcBorders>
          </w:tcPr>
          <w:p>
            <w:pPr>
              <w:spacing w:after="0"/>
              <w:rPr>
                <w:sz w:val="10"/>
                <w:szCs w:val="10"/>
                <w:color w:val="auto"/>
              </w:rPr>
            </w:pPr>
          </w:p>
        </w:tc>
        <w:tc>
          <w:tcPr>
            <w:tcW w:w="5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8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8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333-263086 on Form S-3 and in Registration Statement Nos. 333-265478, 333-211967, 333-208876, 333-197706, 333-62780, 333-63186, 333-130605, 333-153202, 333-153770, 333-169961 and 333-181150 on Forms S-8 of our reports dated February 24, 2023, relating to the financial statements of Willis Towers Watson Public Limited Company and the effectiveness of Willis Towers Watson Public Limited Company's internal control over financial reporting appearing in this Annual Report on Form 10-K for the year ended December 31, 2022.</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8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Carl A. Hess, certify that:</w:t>
      </w:r>
    </w:p>
    <w:p>
      <w:pPr>
        <w:spacing w:after="0" w:line="251" w:lineRule="exact"/>
        <w:rPr>
          <w:sz w:val="20"/>
          <w:szCs w:val="20"/>
          <w:color w:val="auto"/>
        </w:rPr>
      </w:pPr>
    </w:p>
    <w:p>
      <w:pPr>
        <w:ind w:left="440" w:hanging="432"/>
        <w:spacing w:after="0"/>
        <w:tabs>
          <w:tab w:leader="none" w:pos="4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2022 of Willis Towers Watson Public Limited Company;</w:t>
      </w:r>
    </w:p>
    <w:p>
      <w:pPr>
        <w:spacing w:after="0" w:line="251" w:lineRule="exact"/>
        <w:rPr>
          <w:rFonts w:ascii="Times New Roman" w:cs="Times New Roman" w:eastAsia="Times New Roman" w:hAnsi="Times New Roman"/>
          <w:sz w:val="18"/>
          <w:szCs w:val="18"/>
          <w:color w:val="auto"/>
        </w:rPr>
      </w:pPr>
    </w:p>
    <w:p>
      <w:pPr>
        <w:ind w:left="380" w:right="340" w:hanging="372"/>
        <w:spacing w:after="0" w:line="265" w:lineRule="auto"/>
        <w:tabs>
          <w:tab w:leader="none" w:pos="43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Times New Roman" w:cs="Times New Roman" w:eastAsia="Times New Roman" w:hAnsi="Times New Roman"/>
          <w:sz w:val="18"/>
          <w:szCs w:val="18"/>
          <w:color w:val="auto"/>
        </w:rPr>
      </w:pPr>
    </w:p>
    <w:p>
      <w:pPr>
        <w:ind w:left="380" w:right="320" w:hanging="372"/>
        <w:spacing w:after="0" w:line="281" w:lineRule="auto"/>
        <w:tabs>
          <w:tab w:leader="none" w:pos="43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ind w:left="380" w:right="400" w:hanging="372"/>
        <w:spacing w:after="0" w:line="265" w:lineRule="auto"/>
        <w:tabs>
          <w:tab w:leader="none" w:pos="43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1020" w:right="340" w:hanging="504"/>
        <w:spacing w:after="0" w:line="265" w:lineRule="auto"/>
        <w:tabs>
          <w:tab w:leader="none" w:pos="10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020" w:right="500" w:hanging="504"/>
        <w:spacing w:after="0" w:line="312" w:lineRule="auto"/>
        <w:tabs>
          <w:tab w:leader="none" w:pos="1020"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020" w:right="20" w:hanging="504"/>
        <w:spacing w:after="0" w:line="265" w:lineRule="auto"/>
        <w:tabs>
          <w:tab w:leader="none" w:pos="10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left="380" w:right="240" w:hanging="372"/>
        <w:spacing w:after="0" w:line="281" w:lineRule="auto"/>
        <w:tabs>
          <w:tab w:leader="none" w:pos="43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740" w:hanging="504"/>
        <w:spacing w:after="0" w:line="281" w:lineRule="auto"/>
        <w:tabs>
          <w:tab w:leader="none" w:pos="10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right="440" w:hanging="504"/>
        <w:spacing w:after="0" w:line="281" w:lineRule="auto"/>
        <w:tabs>
          <w:tab w:leader="none" w:pos="10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2023</w:t>
      </w:r>
    </w:p>
    <w:p>
      <w:pPr>
        <w:spacing w:after="0" w:line="265" w:lineRule="exact"/>
        <w:rPr>
          <w:sz w:val="20"/>
          <w:szCs w:val="20"/>
          <w:color w:val="auto"/>
        </w:rPr>
      </w:pPr>
    </w:p>
    <w:p>
      <w:pPr>
        <w:ind w:left="5680"/>
        <w:spacing w:after="0"/>
        <w:tabs>
          <w:tab w:leader="none" w:pos="8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Carl A. 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26035</wp:posOffset>
            </wp:positionV>
            <wp:extent cx="3202305"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817">
                      <a:extLst>
                        <a:ext uri="{28A0092B-C50C-407E-A947-70E740481C1C}"/>
                      </a:extLst>
                    </a:blip>
                    <a:srcRect/>
                    <a:stretch>
                      <a:fillRect/>
                    </a:stretch>
                  </pic:blipFill>
                  <pic:spPr bwMode="auto">
                    <a:xfrm>
                      <a:off x="0" y="0"/>
                      <a:ext cx="3202305" cy="8255"/>
                    </a:xfrm>
                    <a:prstGeom prst="rect">
                      <a:avLst/>
                    </a:prstGeom>
                    <a:noFill/>
                  </pic:spPr>
                </pic:pic>
              </a:graphicData>
            </a:graphic>
          </wp:anchor>
        </w:drawing>
      </w:r>
    </w:p>
    <w:p>
      <w:pPr>
        <w:spacing w:after="0" w:line="29"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8"/>
          <w:szCs w:val="18"/>
          <w:color w:val="auto"/>
        </w:rPr>
        <w:t>Carl A. Hess</w:t>
      </w:r>
    </w:p>
    <w:p>
      <w:pPr>
        <w:spacing w:after="0" w:line="34"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219710</wp:posOffset>
            </wp:positionV>
            <wp:extent cx="7157720" cy="425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8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8" w:name="page159"/>
    <w:bookmarkEnd w:id="1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281940</wp:posOffset>
            </wp:positionV>
            <wp:extent cx="7157720" cy="425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8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J. Krasner, certify that:</w:t>
      </w:r>
    </w:p>
    <w:p>
      <w:pPr>
        <w:spacing w:after="0" w:line="251" w:lineRule="exact"/>
        <w:rPr>
          <w:sz w:val="20"/>
          <w:szCs w:val="20"/>
          <w:color w:val="auto"/>
        </w:rPr>
      </w:pPr>
    </w:p>
    <w:p>
      <w:pPr>
        <w:ind w:left="440" w:hanging="432"/>
        <w:spacing w:after="0"/>
        <w:tabs>
          <w:tab w:leader="none" w:pos="4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2022 of Willis Towers Watson Public Limited Company;</w:t>
      </w:r>
    </w:p>
    <w:p>
      <w:pPr>
        <w:spacing w:after="0" w:line="251" w:lineRule="exact"/>
        <w:rPr>
          <w:rFonts w:ascii="Times New Roman" w:cs="Times New Roman" w:eastAsia="Times New Roman" w:hAnsi="Times New Roman"/>
          <w:sz w:val="18"/>
          <w:szCs w:val="18"/>
          <w:color w:val="auto"/>
        </w:rPr>
      </w:pPr>
    </w:p>
    <w:p>
      <w:pPr>
        <w:ind w:left="380" w:right="340" w:hanging="372"/>
        <w:spacing w:after="0" w:line="265" w:lineRule="auto"/>
        <w:tabs>
          <w:tab w:leader="none" w:pos="43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Times New Roman" w:cs="Times New Roman" w:eastAsia="Times New Roman" w:hAnsi="Times New Roman"/>
          <w:sz w:val="18"/>
          <w:szCs w:val="18"/>
          <w:color w:val="auto"/>
        </w:rPr>
      </w:pPr>
    </w:p>
    <w:p>
      <w:pPr>
        <w:ind w:left="380" w:right="320" w:hanging="372"/>
        <w:spacing w:after="0" w:line="281" w:lineRule="auto"/>
        <w:tabs>
          <w:tab w:leader="none" w:pos="43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ind w:left="380" w:right="400" w:hanging="372"/>
        <w:spacing w:after="0" w:line="265" w:lineRule="auto"/>
        <w:tabs>
          <w:tab w:leader="none" w:pos="43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1020" w:right="340" w:hanging="504"/>
        <w:spacing w:after="0" w:line="265" w:lineRule="auto"/>
        <w:tabs>
          <w:tab w:leader="none" w:pos="10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020" w:right="500" w:hanging="504"/>
        <w:spacing w:after="0" w:line="312" w:lineRule="auto"/>
        <w:tabs>
          <w:tab w:leader="none" w:pos="1020"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020" w:right="20" w:hanging="504"/>
        <w:spacing w:after="0" w:line="265" w:lineRule="auto"/>
        <w:tabs>
          <w:tab w:leader="none" w:pos="10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left="380" w:right="240" w:hanging="372"/>
        <w:spacing w:after="0" w:line="281" w:lineRule="auto"/>
        <w:tabs>
          <w:tab w:leader="none" w:pos="43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740" w:hanging="504"/>
        <w:spacing w:after="0" w:line="281" w:lineRule="auto"/>
        <w:tabs>
          <w:tab w:leader="none" w:pos="10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right="440" w:hanging="504"/>
        <w:spacing w:after="0" w:line="281" w:lineRule="auto"/>
        <w:tabs>
          <w:tab w:leader="none" w:pos="10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2023</w:t>
      </w:r>
    </w:p>
    <w:p>
      <w:pPr>
        <w:spacing w:after="0" w:line="265" w:lineRule="exact"/>
        <w:rPr>
          <w:sz w:val="20"/>
          <w:szCs w:val="20"/>
          <w:color w:val="auto"/>
        </w:rPr>
      </w:pPr>
    </w:p>
    <w:p>
      <w:pPr>
        <w:ind w:left="5680"/>
        <w:spacing w:after="0"/>
        <w:tabs>
          <w:tab w:leader="none" w:pos="7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Andrew J. Krasner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3917950</wp:posOffset>
            </wp:positionH>
            <wp:positionV relativeFrom="paragraph">
              <wp:posOffset>26035</wp:posOffset>
            </wp:positionV>
            <wp:extent cx="3074035"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820">
                      <a:extLst>
                        <a:ext uri="{28A0092B-C50C-407E-A947-70E740481C1C}"/>
                      </a:extLst>
                    </a:blip>
                    <a:srcRect/>
                    <a:stretch>
                      <a:fillRect/>
                    </a:stretch>
                  </pic:blipFill>
                  <pic:spPr bwMode="auto">
                    <a:xfrm>
                      <a:off x="0" y="0"/>
                      <a:ext cx="3074035" cy="8255"/>
                    </a:xfrm>
                    <a:prstGeom prst="rect">
                      <a:avLst/>
                    </a:prstGeom>
                    <a:noFill/>
                  </pic:spPr>
                </pic:pic>
              </a:graphicData>
            </a:graphic>
          </wp:anchor>
        </w:drawing>
      </w:r>
    </w:p>
    <w:p>
      <w:pPr>
        <w:spacing w:after="0" w:line="29"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Andrew J. Krasner</w:t>
      </w:r>
    </w:p>
    <w:p>
      <w:pPr>
        <w:spacing w:after="0" w:line="34"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219710</wp:posOffset>
            </wp:positionV>
            <wp:extent cx="7157720" cy="425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8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0" w:name="page161"/>
    <w:bookmarkEnd w:id="1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307975</wp:posOffset>
            </wp:positionV>
            <wp:extent cx="7157720" cy="425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8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Carl A. Hess, Chief Executive Officer of Willis Towers Watson Public Limited Company (the ‘Company’) hereby certifies that, to the best of his knowledge:</w:t>
      </w:r>
    </w:p>
    <w:p>
      <w:pPr>
        <w:spacing w:after="0" w:line="245" w:lineRule="exact"/>
        <w:rPr>
          <w:sz w:val="20"/>
          <w:szCs w:val="20"/>
          <w:color w:val="auto"/>
        </w:rPr>
      </w:pPr>
    </w:p>
    <w:p>
      <w:pPr>
        <w:ind w:left="820" w:hanging="425"/>
        <w:spacing w:after="0"/>
        <w:tabs>
          <w:tab w:leader="none" w:pos="8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3" w:lineRule="exact"/>
        <w:rPr>
          <w:rFonts w:ascii="Times New Roman" w:cs="Times New Roman" w:eastAsia="Times New Roman" w:hAnsi="Times New Roman"/>
          <w:sz w:val="18"/>
          <w:szCs w:val="18"/>
          <w:color w:val="auto"/>
        </w:rPr>
      </w:pPr>
    </w:p>
    <w:p>
      <w:pPr>
        <w:ind w:left="760" w:right="760" w:hanging="365"/>
        <w:spacing w:after="0" w:line="281" w:lineRule="auto"/>
        <w:tabs>
          <w:tab w:leader="none" w:pos="83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2023</w:t>
      </w:r>
    </w:p>
    <w:p>
      <w:pPr>
        <w:spacing w:after="0" w:line="265" w:lineRule="exact"/>
        <w:rPr>
          <w:sz w:val="20"/>
          <w:szCs w:val="20"/>
          <w:color w:val="auto"/>
        </w:rPr>
      </w:pPr>
    </w:p>
    <w:p>
      <w:pPr>
        <w:ind w:left="5680"/>
        <w:spacing w:after="0"/>
        <w:tabs>
          <w:tab w:leader="none" w:pos="8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Carl A. 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26035</wp:posOffset>
            </wp:positionV>
            <wp:extent cx="3202305"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823">
                      <a:extLst>
                        <a:ext uri="{28A0092B-C50C-407E-A947-70E740481C1C}"/>
                      </a:extLst>
                    </a:blip>
                    <a:srcRect/>
                    <a:stretch>
                      <a:fillRect/>
                    </a:stretch>
                  </pic:blipFill>
                  <pic:spPr bwMode="auto">
                    <a:xfrm>
                      <a:off x="0" y="0"/>
                      <a:ext cx="3202305" cy="8255"/>
                    </a:xfrm>
                    <a:prstGeom prst="rect">
                      <a:avLst/>
                    </a:prstGeom>
                    <a:noFill/>
                  </pic:spPr>
                </pic:pic>
              </a:graphicData>
            </a:graphic>
          </wp:anchor>
        </w:drawing>
      </w:r>
    </w:p>
    <w:p>
      <w:pPr>
        <w:spacing w:after="0" w:line="29"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8"/>
          <w:szCs w:val="18"/>
          <w:color w:val="auto"/>
        </w:rPr>
        <w:t>Carl A. Hess</w:t>
      </w:r>
    </w:p>
    <w:p>
      <w:pPr>
        <w:spacing w:after="0" w:line="34"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6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Willis Towers Watson plc and will be retained by Willis Towers Watson plc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8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Andrew J. Krasner, Chief Financial Officer of Willis Towers Watson Public Limited Company (the ‘Company’) hereby certifies that, to the best of his knowledge:</w:t>
      </w:r>
    </w:p>
    <w:p>
      <w:pPr>
        <w:spacing w:after="0" w:line="96" w:lineRule="exact"/>
        <w:rPr>
          <w:sz w:val="20"/>
          <w:szCs w:val="20"/>
          <w:color w:val="auto"/>
        </w:rPr>
      </w:pPr>
    </w:p>
    <w:p>
      <w:pPr>
        <w:ind w:left="820" w:hanging="425"/>
        <w:spacing w:after="0"/>
        <w:tabs>
          <w:tab w:leader="none" w:pos="8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3" w:lineRule="exact"/>
        <w:rPr>
          <w:rFonts w:ascii="Times New Roman" w:cs="Times New Roman" w:eastAsia="Times New Roman" w:hAnsi="Times New Roman"/>
          <w:sz w:val="18"/>
          <w:szCs w:val="18"/>
          <w:color w:val="auto"/>
        </w:rPr>
      </w:pPr>
    </w:p>
    <w:p>
      <w:pPr>
        <w:ind w:left="760" w:right="760" w:hanging="365"/>
        <w:spacing w:after="0" w:line="281" w:lineRule="auto"/>
        <w:tabs>
          <w:tab w:leader="none" w:pos="83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2023</w:t>
      </w:r>
    </w:p>
    <w:p>
      <w:pPr>
        <w:spacing w:after="0" w:line="265" w:lineRule="exact"/>
        <w:rPr>
          <w:sz w:val="20"/>
          <w:szCs w:val="20"/>
          <w:color w:val="auto"/>
        </w:rPr>
      </w:pPr>
    </w:p>
    <w:p>
      <w:pPr>
        <w:ind w:left="5680"/>
        <w:spacing w:after="0"/>
        <w:tabs>
          <w:tab w:leader="none" w:pos="7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Andrew J. Krasner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26035</wp:posOffset>
            </wp:positionV>
            <wp:extent cx="3202305"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825">
                      <a:extLst>
                        <a:ext uri="{28A0092B-C50C-407E-A947-70E740481C1C}"/>
                      </a:extLst>
                    </a:blip>
                    <a:srcRect/>
                    <a:stretch>
                      <a:fillRect/>
                    </a:stretch>
                  </pic:blipFill>
                  <pic:spPr bwMode="auto">
                    <a:xfrm>
                      <a:off x="0" y="0"/>
                      <a:ext cx="3202305" cy="8255"/>
                    </a:xfrm>
                    <a:prstGeom prst="rect">
                      <a:avLst/>
                    </a:prstGeom>
                    <a:noFill/>
                  </pic:spPr>
                </pic:pic>
              </a:graphicData>
            </a:graphic>
          </wp:anchor>
        </w:drawing>
      </w:r>
    </w:p>
    <w:p>
      <w:pPr>
        <w:spacing w:after="0" w:line="29"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8"/>
          <w:szCs w:val="18"/>
          <w:color w:val="auto"/>
        </w:rPr>
        <w:t>Andrew J. Krasner</w:t>
      </w:r>
    </w:p>
    <w:p>
      <w:pPr>
        <w:spacing w:after="0" w:line="34"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6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Willis Towers Watson plc and will be retained by Willis Towers Watson plc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7157720" cy="425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8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3" w:name="page164"/>
    <w:bookmarkEnd w:id="16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1)"/>
      <w:numFmt w:val="lowerRoman"/>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1)"/>
      <w:numFmt w:val="lowerRoman"/>
      <w:start w:val="1"/>
    </w:lvl>
  </w:abstractNum>
  <w:abstractNum w:abstractNumId="24">
    <w:nsid w:val="6DE91B18"/>
    <w:multiLevelType w:val="hybridMultilevel"/>
    <w:lvl w:ilvl="0">
      <w:lvlJc w:val="left"/>
      <w:lvlText w:val="(%1)"/>
      <w:numFmt w:val="lowerRoman"/>
      <w:start w:val="1"/>
    </w:lvl>
  </w:abstractNum>
  <w:abstractNum w:abstractNumId="25">
    <w:nsid w:val="38437FDB"/>
    <w:multiLevelType w:val="hybridMultilevel"/>
    <w:lvl w:ilvl="0">
      <w:lvlJc w:val="left"/>
      <w:lvlText w:val="%1)"/>
      <w:numFmt w:val="lowerLetter"/>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1)"/>
      <w:numFmt w:val="lowerRoman"/>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1)"/>
      <w:numFmt w:val="lowerRoman"/>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1)"/>
      <w:numFmt w:val="lowerRoman"/>
      <w:start w:val="1"/>
    </w:lvl>
  </w:abstractNum>
  <w:abstractNum w:abstractNumId="36">
    <w:nsid w:val="70C6A529"/>
    <w:multiLevelType w:val="hybridMultilevel"/>
    <w:lvl w:ilvl="0">
      <w:lvlJc w:val="left"/>
      <w:lvlText w:val="(%1)"/>
      <w:numFmt w:val="lowerRoman"/>
      <w:start w:val="1"/>
    </w:lvl>
  </w:abstractNum>
  <w:abstractNum w:abstractNumId="37">
    <w:nsid w:val="520EEDD1"/>
    <w:multiLevelType w:val="hybridMultilevel"/>
    <w:lvl w:ilvl="0">
      <w:lvlJc w:val="left"/>
      <w:lvlText w:val="(%1)"/>
      <w:numFmt w:val="lowerRoman"/>
      <w:start w:val="1"/>
    </w:lvl>
  </w:abstractNum>
  <w:abstractNum w:abstractNumId="38">
    <w:nsid w:val="374A3FE6"/>
    <w:multiLevelType w:val="hybridMultilevel"/>
    <w:lvl w:ilvl="0">
      <w:lvlJc w:val="left"/>
      <w:lvlText w:val="(%1)"/>
      <w:numFmt w:val="lowerRoman"/>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emdash "/>
      <w:numFmt w:val="bullet"/>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1)"/>
      <w:numFmt w:val="lowerRoman"/>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1)"/>
      <w:numFmt w:val="lowerRoman"/>
      <w:start w:val="1"/>
    </w:lvl>
  </w:abstractNum>
  <w:abstractNum w:abstractNumId="47">
    <w:nsid w:val="47398C89"/>
    <w:multiLevelType w:val="hybridMultilevel"/>
    <w:lvl w:ilvl="0">
      <w:lvlJc w:val="left"/>
      <w:lvlText w:val="•"/>
      <w:numFmt w:val="bullet"/>
      <w:start w:val="1"/>
    </w:lvl>
  </w:abstractNum>
  <w:abstractNum w:abstractNumId="48">
    <w:nsid w:val="354FE9F9"/>
    <w:multiLevelType w:val="hybridMultilevel"/>
    <w:lvl w:ilvl="0">
      <w:lvlJc w:val="left"/>
      <w:lvlText w:val="(%1)"/>
      <w:numFmt w:val="lowerRoman"/>
      <w:start w:val="1"/>
    </w:lvl>
  </w:abstractNum>
  <w:abstractNum w:abstractNumId="49">
    <w:nsid w:val="15B5AF5C"/>
    <w:multiLevelType w:val="hybridMultilevel"/>
    <w:lvl w:ilvl="0">
      <w:lvlJc w:val="left"/>
      <w:lvlText w:val="•"/>
      <w:numFmt w:val="bullet"/>
      <w:start w:val="1"/>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
      <w:numFmt w:val="bullet"/>
      <w:start w:val="1"/>
    </w:lvl>
  </w:abstractNum>
  <w:abstractNum w:abstractNumId="52">
    <w:nsid w:val="10233C99"/>
    <w:multiLevelType w:val="hybridMultilevel"/>
    <w:lvl w:ilvl="0">
      <w:lvlJc w:val="left"/>
      <w:lvlText w:val="•"/>
      <w:numFmt w:val="bullet"/>
      <w:start w:val="1"/>
    </w:lvl>
  </w:abstractNum>
  <w:abstractNum w:abstractNumId="53">
    <w:nsid w:val="3F6AB60F"/>
    <w:multiLevelType w:val="hybridMultilevel"/>
    <w:lvl w:ilvl="0">
      <w:lvlJc w:val="left"/>
      <w:lvlText w:val="(%1)"/>
      <w:numFmt w:val="lowerRoman"/>
      <w:start w:val="1"/>
    </w:lvl>
  </w:abstractNum>
  <w:abstractNum w:abstractNumId="54">
    <w:nsid w:val="61574095"/>
    <w:multiLevelType w:val="hybridMultilevel"/>
    <w:lvl w:ilvl="0">
      <w:lvlJc w:val="left"/>
      <w:lvlText w:val="(%1)"/>
      <w:numFmt w:val="lowerRoman"/>
      <w:start w:val="1"/>
    </w:lvl>
  </w:abstractNum>
  <w:abstractNum w:abstractNumId="55">
    <w:nsid w:val="7E0C57B1"/>
    <w:multiLevelType w:val="hybridMultilevel"/>
    <w:lvl w:ilvl="0">
      <w:lvlJc w:val="left"/>
      <w:lvlText w:val="•"/>
      <w:numFmt w:val="bullet"/>
      <w:start w:val="1"/>
    </w:lvl>
  </w:abstractNum>
  <w:abstractNum w:abstractNumId="56">
    <w:nsid w:val="77AE35EB"/>
    <w:multiLevelType w:val="hybridMultilevel"/>
    <w:lvl w:ilvl="0">
      <w:lvlJc w:val="left"/>
      <w:lvlText w:val="(%1)"/>
      <w:numFmt w:val="lowerRoman"/>
      <w:start w:val="1"/>
    </w:lvl>
  </w:abstractNum>
  <w:abstractNum w:abstractNumId="57">
    <w:nsid w:val="579BE4F1"/>
    <w:multiLevelType w:val="hybridMultilevel"/>
    <w:lvl w:ilvl="0">
      <w:lvlJc w:val="left"/>
      <w:lvlText w:val="(%1)"/>
      <w:numFmt w:val="lowerRoman"/>
      <w:start w:val="1"/>
    </w:lvl>
  </w:abstractNum>
  <w:abstractNum w:abstractNumId="58">
    <w:nsid w:val="310C50B3"/>
    <w:multiLevelType w:val="hybridMultilevel"/>
    <w:lvl w:ilvl="0">
      <w:lvlJc w:val="left"/>
      <w:lvlText w:val="(%1)"/>
      <w:numFmt w:val="decimal"/>
      <w:start w:val="1"/>
    </w:lvl>
  </w:abstractNum>
  <w:abstractNum w:abstractNumId="59">
    <w:nsid w:val="5FF87E05"/>
    <w:multiLevelType w:val="hybridMultilevel"/>
    <w:lvl w:ilvl="0">
      <w:lvlJc w:val="left"/>
      <w:lvlText w:val="%1)"/>
      <w:numFmt w:val="lowerLetter"/>
      <w:start w:val="1"/>
    </w:lvl>
  </w:abstractNum>
  <w:abstractNum w:abstractNumId="60">
    <w:nsid w:val="2F305DEF"/>
    <w:multiLevelType w:val="hybridMultilevel"/>
    <w:lvl w:ilvl="0">
      <w:lvlJc w:val="left"/>
      <w:lvlText w:val="%1)"/>
      <w:numFmt w:val="lowerLetter"/>
      <w:start w:val="2"/>
    </w:lvl>
  </w:abstractNum>
  <w:abstractNum w:abstractNumId="61">
    <w:nsid w:val="25A70BF7"/>
    <w:multiLevelType w:val="hybridMultilevel"/>
    <w:lvl w:ilvl="0">
      <w:lvlJc w:val="left"/>
      <w:lvlText w:val="**"/>
      <w:numFmt w:val="bullet"/>
      <w:start w:val="1"/>
    </w:lvl>
  </w:abstractNum>
  <w:abstractNum w:abstractNumId="62">
    <w:nsid w:val="1DBABF00"/>
    <w:multiLevelType w:val="hybridMultilevel"/>
    <w:lvl w:ilvl="0">
      <w:lvlJc w:val="left"/>
      <w:lvlText w:val="%1)"/>
      <w:numFmt w:val="lowerLetter"/>
      <w:start w:val="2"/>
    </w:lvl>
  </w:abstractNum>
  <w:abstractNum w:abstractNumId="63">
    <w:nsid w:val="4AD084E9"/>
    <w:multiLevelType w:val="hybridMultilevel"/>
    <w:lvl w:ilvl="0">
      <w:lvlJc w:val="left"/>
      <w:lvlText w:val="%1)"/>
      <w:numFmt w:val="lowerLetter"/>
      <w:start w:val="3"/>
    </w:lvl>
    <w:lvl w:ilvl="1">
      <w:lvlJc w:val="left"/>
      <w:lvlText w:val="%2."/>
      <w:numFmt w:val="lowerRoman"/>
      <w:start w:val="1"/>
    </w:lvl>
  </w:abstractNum>
  <w:abstractNum w:abstractNumId="64">
    <w:nsid w:val="1F48EAA1"/>
    <w:multiLevelType w:val="hybridMultilevel"/>
    <w:lvl w:ilvl="0">
      <w:lvlJc w:val="left"/>
      <w:lvlText w:val="%1."/>
      <w:numFmt w:val="lowerRoman"/>
      <w:start w:val="1"/>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6" Type="http://schemas.openxmlformats.org/officeDocument/2006/relationships/image" Target="media/image695.png"/><Relationship Id="rId707" Type="http://schemas.openxmlformats.org/officeDocument/2006/relationships/image" Target="media/image696.png"/><Relationship Id="rId722" Type="http://schemas.openxmlformats.org/officeDocument/2006/relationships/image" Target="media/image697.png"/><Relationship Id="rId723" Type="http://schemas.openxmlformats.org/officeDocument/2006/relationships/image" Target="media/image698.png"/><Relationship Id="rId742" Type="http://schemas.openxmlformats.org/officeDocument/2006/relationships/image" Target="media/image699.png"/><Relationship Id="rId743" Type="http://schemas.openxmlformats.org/officeDocument/2006/relationships/image" Target="media/image700.png"/><Relationship Id="rId761" Type="http://schemas.openxmlformats.org/officeDocument/2006/relationships/image" Target="media/image701.png"/><Relationship Id="rId762" Type="http://schemas.openxmlformats.org/officeDocument/2006/relationships/image" Target="media/image702.png"/><Relationship Id="rId766" Type="http://schemas.openxmlformats.org/officeDocument/2006/relationships/image" Target="media/image703.png"/><Relationship Id="rId767" Type="http://schemas.openxmlformats.org/officeDocument/2006/relationships/image" Target="media/image704.png"/><Relationship Id="rId768" Type="http://schemas.openxmlformats.org/officeDocument/2006/relationships/image" Target="media/image705.png"/><Relationship Id="rId769" Type="http://schemas.openxmlformats.org/officeDocument/2006/relationships/image" Target="media/image706.png"/><Relationship Id="rId770" Type="http://schemas.openxmlformats.org/officeDocument/2006/relationships/image" Target="media/image707.png"/><Relationship Id="rId771" Type="http://schemas.openxmlformats.org/officeDocument/2006/relationships/image" Target="media/image708.png"/><Relationship Id="rId772" Type="http://schemas.openxmlformats.org/officeDocument/2006/relationships/image" Target="media/image709.png"/><Relationship Id="rId773" Type="http://schemas.openxmlformats.org/officeDocument/2006/relationships/image" Target="media/image710.png"/><Relationship Id="rId774" Type="http://schemas.openxmlformats.org/officeDocument/2006/relationships/image" Target="media/image711.png"/><Relationship Id="rId775" Type="http://schemas.openxmlformats.org/officeDocument/2006/relationships/image" Target="media/image712.png"/><Relationship Id="rId776" Type="http://schemas.openxmlformats.org/officeDocument/2006/relationships/image" Target="media/image713.png"/><Relationship Id="rId777" Type="http://schemas.openxmlformats.org/officeDocument/2006/relationships/image" Target="media/image714.png"/><Relationship Id="rId778" Type="http://schemas.openxmlformats.org/officeDocument/2006/relationships/image" Target="media/image715.png"/><Relationship Id="rId779" Type="http://schemas.openxmlformats.org/officeDocument/2006/relationships/image" Target="media/image716.png"/><Relationship Id="rId780" Type="http://schemas.openxmlformats.org/officeDocument/2006/relationships/image" Target="media/image717.png"/><Relationship Id="rId781" Type="http://schemas.openxmlformats.org/officeDocument/2006/relationships/image" Target="media/image718.png"/><Relationship Id="rId782" Type="http://schemas.openxmlformats.org/officeDocument/2006/relationships/image" Target="media/image719.jpeg"/><Relationship Id="rId783" Type="http://schemas.openxmlformats.org/officeDocument/2006/relationships/image" Target="media/image720.png"/><Relationship Id="rId784" Type="http://schemas.openxmlformats.org/officeDocument/2006/relationships/image" Target="media/image721.png"/><Relationship Id="rId785" Type="http://schemas.openxmlformats.org/officeDocument/2006/relationships/image" Target="media/image722.png"/><Relationship Id="rId786" Type="http://schemas.openxmlformats.org/officeDocument/2006/relationships/image" Target="media/image723.png"/><Relationship Id="rId787" Type="http://schemas.openxmlformats.org/officeDocument/2006/relationships/image" Target="media/image724.png"/><Relationship Id="rId788" Type="http://schemas.openxmlformats.org/officeDocument/2006/relationships/image" Target="media/image725.png"/><Relationship Id="rId789" Type="http://schemas.openxmlformats.org/officeDocument/2006/relationships/image" Target="media/image726.png"/><Relationship Id="rId790" Type="http://schemas.openxmlformats.org/officeDocument/2006/relationships/image" Target="media/image727.png"/><Relationship Id="rId791" Type="http://schemas.openxmlformats.org/officeDocument/2006/relationships/image" Target="media/image728.png"/><Relationship Id="rId792" Type="http://schemas.openxmlformats.org/officeDocument/2006/relationships/image" Target="media/image729.png"/><Relationship Id="rId793" Type="http://schemas.openxmlformats.org/officeDocument/2006/relationships/image" Target="media/image730.png"/><Relationship Id="rId794" Type="http://schemas.openxmlformats.org/officeDocument/2006/relationships/image" Target="media/image731.png"/><Relationship Id="rId795" Type="http://schemas.openxmlformats.org/officeDocument/2006/relationships/image" Target="media/image732.png"/><Relationship Id="rId796" Type="http://schemas.openxmlformats.org/officeDocument/2006/relationships/image" Target="media/image733.png"/><Relationship Id="rId797" Type="http://schemas.openxmlformats.org/officeDocument/2006/relationships/image" Target="media/image734.png"/><Relationship Id="rId798" Type="http://schemas.openxmlformats.org/officeDocument/2006/relationships/image" Target="media/image735.jpeg"/><Relationship Id="rId799" Type="http://schemas.openxmlformats.org/officeDocument/2006/relationships/image" Target="media/image736.png"/><Relationship Id="rId800" Type="http://schemas.openxmlformats.org/officeDocument/2006/relationships/image" Target="media/image737.png"/><Relationship Id="rId801" Type="http://schemas.openxmlformats.org/officeDocument/2006/relationships/image" Target="media/image738.png"/><Relationship Id="rId802" Type="http://schemas.openxmlformats.org/officeDocument/2006/relationships/image" Target="media/image739.png"/><Relationship Id="rId803" Type="http://schemas.openxmlformats.org/officeDocument/2006/relationships/image" Target="media/image740.png"/><Relationship Id="rId804" Type="http://schemas.openxmlformats.org/officeDocument/2006/relationships/image" Target="media/image741.png"/><Relationship Id="rId805" Type="http://schemas.openxmlformats.org/officeDocument/2006/relationships/image" Target="media/image742.png"/><Relationship Id="rId806" Type="http://schemas.openxmlformats.org/officeDocument/2006/relationships/image" Target="media/image743.png"/><Relationship Id="rId807" Type="http://schemas.openxmlformats.org/officeDocument/2006/relationships/image" Target="media/image744.png"/><Relationship Id="rId808" Type="http://schemas.openxmlformats.org/officeDocument/2006/relationships/image" Target="media/image745.png"/><Relationship Id="rId809" Type="http://schemas.openxmlformats.org/officeDocument/2006/relationships/image" Target="media/image746.png"/><Relationship Id="rId810" Type="http://schemas.openxmlformats.org/officeDocument/2006/relationships/image" Target="media/image747.png"/><Relationship Id="rId811" Type="http://schemas.openxmlformats.org/officeDocument/2006/relationships/image" Target="media/image748.png"/><Relationship Id="rId812" Type="http://schemas.openxmlformats.org/officeDocument/2006/relationships/image" Target="media/image749.png"/><Relationship Id="rId813" Type="http://schemas.openxmlformats.org/officeDocument/2006/relationships/image" Target="media/image750.png"/><Relationship Id="rId814" Type="http://schemas.openxmlformats.org/officeDocument/2006/relationships/image" Target="media/image751.png"/><Relationship Id="rId815" Type="http://schemas.openxmlformats.org/officeDocument/2006/relationships/image" Target="media/image752.png"/><Relationship Id="rId816" Type="http://schemas.openxmlformats.org/officeDocument/2006/relationships/image" Target="media/image753.png"/><Relationship Id="rId817" Type="http://schemas.openxmlformats.org/officeDocument/2006/relationships/image" Target="media/image754.png"/><Relationship Id="rId818" Type="http://schemas.openxmlformats.org/officeDocument/2006/relationships/image" Target="media/image755.png"/><Relationship Id="rId819" Type="http://schemas.openxmlformats.org/officeDocument/2006/relationships/image" Target="media/image756.png"/><Relationship Id="rId820" Type="http://schemas.openxmlformats.org/officeDocument/2006/relationships/image" Target="media/image757.png"/><Relationship Id="rId821" Type="http://schemas.openxmlformats.org/officeDocument/2006/relationships/image" Target="media/image758.png"/><Relationship Id="rId822" Type="http://schemas.openxmlformats.org/officeDocument/2006/relationships/image" Target="media/image759.png"/><Relationship Id="rId823" Type="http://schemas.openxmlformats.org/officeDocument/2006/relationships/image" Target="media/image760.png"/><Relationship Id="rId824" Type="http://schemas.openxmlformats.org/officeDocument/2006/relationships/image" Target="media/image761.png"/><Relationship Id="rId825" Type="http://schemas.openxmlformats.org/officeDocument/2006/relationships/image" Target="media/image762.png"/><Relationship Id="rId826" Type="http://schemas.openxmlformats.org/officeDocument/2006/relationships/image" Target="media/image763.png"/><Relationship Id="rId702" Type="http://schemas.openxmlformats.org/officeDocument/2006/relationships/hyperlink" Target="https://www.sec.gov/Archives/edgar/data/1140536/000119312515240148/d948067dex21.htm" TargetMode="External"/><Relationship Id="rId703" Type="http://schemas.openxmlformats.org/officeDocument/2006/relationships/hyperlink" Target="https://www.sec.gov/Archives/edgar/data/1140536/000119312515383814/d43997dex21.htm" TargetMode="External"/><Relationship Id="rId704" Type="http://schemas.openxmlformats.org/officeDocument/2006/relationships/hyperlink" Target="https://www.sec.gov/Archives/edgar/data/1140536/000119312517203660/d397380dex31.htm" TargetMode="External"/><Relationship Id="rId705" Type="http://schemas.openxmlformats.org/officeDocument/2006/relationships/hyperlink" Target="https://www.sec.gov/Archives/edgar/data/1140536/000156459020006736/wltw-ex41_331.htm" TargetMode="External"/><Relationship Id="rId708" Type="http://schemas.openxmlformats.org/officeDocument/2006/relationships/hyperlink" Target="https://www.sec.gov/Archives/edgar/data/1140536/000119312513336388/d583725dex41.htm" TargetMode="External"/><Relationship Id="rId709" Type="http://schemas.openxmlformats.org/officeDocument/2006/relationships/hyperlink" Target="https://www.sec.gov/Archives/edgar/data/1140536/000119312513336388/d583725dex42.htm" TargetMode="External"/><Relationship Id="rId710" Type="http://schemas.openxmlformats.org/officeDocument/2006/relationships/hyperlink" Target="https://www.sec.gov/Archives/edgar/data/1140536/000119312516498760/d154455dex43.htm" TargetMode="External"/><Relationship Id="rId711" Type="http://schemas.openxmlformats.org/officeDocument/2006/relationships/hyperlink" Target="https://www.sec.gov/Archives/edgar/data/1140536/000119312516513317/d142137dex41.htm" TargetMode="External"/><Relationship Id="rId712" Type="http://schemas.openxmlformats.org/officeDocument/2006/relationships/hyperlink" Target="https://www.sec.gov/Archives/edgar/data/1140536/000119312517259394/d442942dex43.htm" TargetMode="External"/><Relationship Id="rId713" Type="http://schemas.openxmlformats.org/officeDocument/2006/relationships/hyperlink" Target="https://www.sec.gov/Archives/edgar/data/1140536/000119312517172295/d384531dex41.htm" TargetMode="External"/><Relationship Id="rId714" Type="http://schemas.openxmlformats.org/officeDocument/2006/relationships/hyperlink" Target="https://www.sec.gov/Archives/edgar/data/1140536/000119312517172295/d384531dex42.htm" TargetMode="External"/><Relationship Id="rId715" Type="http://schemas.openxmlformats.org/officeDocument/2006/relationships/hyperlink" Target="https://www.sec.gov/Archives/edgar/data/1140536/000119312517259394/d442942dex44.htm" TargetMode="External"/><Relationship Id="rId716" Type="http://schemas.openxmlformats.org/officeDocument/2006/relationships/hyperlink" Target="https://www.sec.gov/Archives/edgar/data/1140536/000119312518270074/d620014dex41.htm" TargetMode="External"/><Relationship Id="rId717" Type="http://schemas.openxmlformats.org/officeDocument/2006/relationships/hyperlink" Target="https://www.sec.gov/Archives/edgar/data/1140536/000119312519242058/d773448dex41.htm" TargetMode="External"/><Relationship Id="rId718" Type="http://schemas.openxmlformats.org/officeDocument/2006/relationships/hyperlink" Target="https://www.sec.gov/Archives/edgar/data/1140536/000119312522155083/d307569dex41.htm" TargetMode="External"/><Relationship Id="rId719" Type="http://schemas.openxmlformats.org/officeDocument/2006/relationships/hyperlink" Target="https://www.sec.gov/Archives/edgar/data/1140536/000119312520155900/d937873dex41.htm" TargetMode="External"/><Relationship Id="rId720" Type="http://schemas.openxmlformats.org/officeDocument/2006/relationships/hyperlink" Target="https://www.sec.gov/Archives/edgar/data/1076532/000119312522058006/d252728dex46.htm" TargetMode="External"/><Relationship Id="rId721" Type="http://schemas.openxmlformats.org/officeDocument/2006/relationships/hyperlink" Target="https://www.sec.gov/Archives/edgar/data/1140536/000119312521294224/d214769dex101.htm" TargetMode="External"/><Relationship Id="rId724" Type="http://schemas.openxmlformats.org/officeDocument/2006/relationships/hyperlink" Target="https://www.sec.gov/Archives/edgar/data/1140536/000119312521294224/d214769dex102.htm" TargetMode="External"/><Relationship Id="rId725" Type="http://schemas.openxmlformats.org/officeDocument/2006/relationships/hyperlink" Target="https://www.sec.gov/Archives/edgar/data/1140536/000095012310000028/h69179exv10w4.htm" TargetMode="External"/><Relationship Id="rId726" Type="http://schemas.openxmlformats.org/officeDocument/2006/relationships/hyperlink" Target="https://www.sec.gov/Archives/edgar/data/1140536/000119312521246964/d218523dex101.htm" TargetMode="External"/><Relationship Id="rId727" Type="http://schemas.openxmlformats.org/officeDocument/2006/relationships/hyperlink" Target="https://www.sec.gov/Archives/edgar/data/1140536/000119312521349136/d414791dex101.htm" TargetMode="External"/><Relationship Id="rId728" Type="http://schemas.openxmlformats.org/officeDocument/2006/relationships/hyperlink" Target="https://www.sec.gov/Archives/edgar/data/1140536/000119312522127378/d248213ddef14a.htm" TargetMode="External"/><Relationship Id="rId729" Type="http://schemas.openxmlformats.org/officeDocument/2006/relationships/hyperlink" Target="https://www.sec.gov/Archives/edgar/data/1140536/000119312512346209/d352817dex101.htm" TargetMode="External"/><Relationship Id="rId730" Type="http://schemas.openxmlformats.org/officeDocument/2006/relationships/hyperlink" Target="https://www.sec.gov/Archives/edgar/data/1140536/000095017022001932/wtw-ex10_9.htm" TargetMode="External"/><Relationship Id="rId731" Type="http://schemas.openxmlformats.org/officeDocument/2006/relationships/hyperlink" Target="https://www.sec.gov/Archives/edgar/data/1140536/000144530513000389/exhibit1032.htm" TargetMode="External"/><Relationship Id="rId732" Type="http://schemas.openxmlformats.org/officeDocument/2006/relationships/hyperlink" Target="https://www.sec.gov/Archives/edgar/data/1140536/000129993309004633/exhibit1.htm" TargetMode="External"/><Relationship Id="rId733" Type="http://schemas.openxmlformats.org/officeDocument/2006/relationships/hyperlink" Target="https://www.sec.gov/Archives/edgar/data/1140536/000095012311074829/u10790exv10w1.htm" TargetMode="External"/><Relationship Id="rId734" Type="http://schemas.openxmlformats.org/officeDocument/2006/relationships/hyperlink" Target="https://www.sec.gov/Archives/edgar/data/1140536/000114053613000015/exhibit106.htm" TargetMode="External"/><Relationship Id="rId735" Type="http://schemas.openxmlformats.org/officeDocument/2006/relationships/hyperlink" Target="https://www.sec.gov/Archives/edgar/data/1140536/000114053618000008/wltw-ex1034_20171231.htm" TargetMode="External"/><Relationship Id="rId736" Type="http://schemas.openxmlformats.org/officeDocument/2006/relationships/hyperlink" Target="https://www.sec.gov/Archives/edgar/data/1140536/000156459019039341/wltw-ex102_76.htm" TargetMode="External"/><Relationship Id="rId737" Type="http://schemas.openxmlformats.org/officeDocument/2006/relationships/hyperlink" Target="https://www.sec.gov/Archives/edgar/data/1140536/000119312516420642/d113564dex101.htm" TargetMode="External"/><Relationship Id="rId738" Type="http://schemas.openxmlformats.org/officeDocument/2006/relationships/hyperlink" Target="https://www.sec.gov/Archives/edgar/data/1140536/000119312516420642/d113564dex102.htm" TargetMode="External"/><Relationship Id="rId739" Type="http://schemas.openxmlformats.org/officeDocument/2006/relationships/hyperlink" Target="https://www.sec.gov/Archives/edgar/data/1140536/000095017022013342/wtw-ex10_1.htm" TargetMode="External"/><Relationship Id="rId740" Type="http://schemas.openxmlformats.org/officeDocument/2006/relationships/hyperlink" Target="https://www.sec.gov/Archives/edgar/data/1140536/000156459021052630/wltw-ex104_93.htm" TargetMode="External"/><Relationship Id="rId741" Type="http://schemas.openxmlformats.org/officeDocument/2006/relationships/hyperlink" Target="https://www.sec.gov/Archives/edgar/data/1140536/000156459021052630/wltw-ex105_94.htm" TargetMode="External"/><Relationship Id="rId744" Type="http://schemas.openxmlformats.org/officeDocument/2006/relationships/hyperlink" Target="https://www.sec.gov/Archives/edgar/data/1140536/000095017022001932/wtw-ex10_45.htm" TargetMode="External"/><Relationship Id="rId745" Type="http://schemas.openxmlformats.org/officeDocument/2006/relationships/hyperlink" Target="https://www.sec.gov/Archives/edgar/data/1140536/000119312521030287/d109756dex101.htm" TargetMode="External"/><Relationship Id="rId746" Type="http://schemas.openxmlformats.org/officeDocument/2006/relationships/hyperlink" Target="https://www.sec.gov/Archives/edgar/data/1140536/000119312516421492/d113853dex991.htm" TargetMode="External"/><Relationship Id="rId747" Type="http://schemas.openxmlformats.org/officeDocument/2006/relationships/hyperlink" Target="https://www.sec.gov/Archives/edgar/data/1103126/000110465906058914/a06-18179_1ex10d21.htm" TargetMode="External"/><Relationship Id="rId748" Type="http://schemas.openxmlformats.org/officeDocument/2006/relationships/hyperlink" Target="https://www.sec.gov/Archives/edgar/data/1103126/000110465906058914/a06-18179_1ex10d22.htm" TargetMode="External"/><Relationship Id="rId749" Type="http://schemas.openxmlformats.org/officeDocument/2006/relationships/hyperlink" Target="https://www.sec.gov/Archives/edgar/data/1470215/000119312512374298/d403185dex1010.htm" TargetMode="External"/><Relationship Id="rId750" Type="http://schemas.openxmlformats.org/officeDocument/2006/relationships/hyperlink" Target="https://www.sec.gov/Archives/edgar/data/1140536/000114053616000074/wtw-ex101_20160930.htm" TargetMode="External"/><Relationship Id="rId751" Type="http://schemas.openxmlformats.org/officeDocument/2006/relationships/hyperlink" Target="https://www.sec.gov/Archives/edgar/data/1140536/000119312518220684/d542210dex993.htm" TargetMode="External"/><Relationship Id="rId752" Type="http://schemas.openxmlformats.org/officeDocument/2006/relationships/hyperlink" Target="https://www.sec.gov/Archives/edgar/data/1140536/000156459021007578/wltw-ex1062_44.htm" TargetMode="External"/><Relationship Id="rId753" Type="http://schemas.openxmlformats.org/officeDocument/2006/relationships/hyperlink" Target="https://www.sec.gov/Archives/edgar/data/1140536/000114053617000028/wltw-ex103_20170630.htm" TargetMode="External"/><Relationship Id="rId754" Type="http://schemas.openxmlformats.org/officeDocument/2006/relationships/hyperlink" Target="https://www.sec.gov/Archives/edgar/data/1140536/000114053618000019/wltw-ex102_20180630.htm" TargetMode="External"/><Relationship Id="rId755" Type="http://schemas.openxmlformats.org/officeDocument/2006/relationships/hyperlink" Target="https://www.sec.gov/Archives/edgar/data/1140536/000156459021007578/wltw-ex1063_45.htm" TargetMode="External"/><Relationship Id="rId756" Type="http://schemas.openxmlformats.org/officeDocument/2006/relationships/hyperlink" Target="https://www.sec.gov/Archives/edgar/data/1140536/000114053618000008/wltw-ex1068_20171231.htm" TargetMode="External"/><Relationship Id="rId757" Type="http://schemas.openxmlformats.org/officeDocument/2006/relationships/hyperlink" Target="https://www.sec.gov/Archives/edgar/data/1140536/000156459021040668/wltw-ex102_100.htm" TargetMode="External"/><Relationship Id="rId758" Type="http://schemas.openxmlformats.org/officeDocument/2006/relationships/hyperlink" Target="https://www.sec.gov/Archives/edgar/data/1140536/000156459021040668/wltw-ex103_101.htm" TargetMode="External"/><Relationship Id="rId759" Type="http://schemas.openxmlformats.org/officeDocument/2006/relationships/hyperlink" Target="https://www.sec.gov/Archives/edgar/data/1140536/000119312522058337/d452103dex101.htm" TargetMode="External"/><Relationship Id="rId760" Type="http://schemas.openxmlformats.org/officeDocument/2006/relationships/hyperlink" Target="https://www.sec.gov/Archives/edgar/data/1140536/000119312522058337/d452103dex102.htm" TargetMode="External"/><Relationship Id="rId763" Type="http://schemas.openxmlformats.org/officeDocument/2006/relationships/hyperlink" Target="https://www.sec.gov/Archives/edgar/data/1140536/000119312522058337/d452103dex103.htm" TargetMode="External"/><Relationship Id="rId764" Type="http://schemas.openxmlformats.org/officeDocument/2006/relationships/hyperlink" Target="https://www.sec.gov/Archives/edgar/data/1140536/000119312522058337/d452103dex104.htm" TargetMode="External"/><Relationship Id="rId765" Type="http://schemas.openxmlformats.org/officeDocument/2006/relationships/hyperlink" Target="https://www.sec.gov/Archives/edgar/data/1140536/000095017022013342/wtw-ex22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2023-02-24T15:01:53Z</dcterms:created>
  <dcterms:modified xsi:type="dcterms:W3CDTF">2023-02-24T15:01:53Z</dcterms:modified>
</cp:coreProperties>
</file>