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22,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333-293024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 TO 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Willis Towers Watson Public Limited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00" w:type="dxa"/>
        <w:tblCellMar>
          <w:top w:w="0" w:type="dxa"/>
          <w:left w:w="0" w:type="dxa"/>
          <w:bottom w:w="0" w:type="dxa"/>
          <w:right w:w="0" w:type="dxa"/>
        </w:tblCellMar>
      </w:tblPr>
      <w:tr>
        <w:trPr>
          <w:trHeight w:val="214"/>
        </w:trPr>
        <w:tc>
          <w:tcPr>
            <w:tcW w:w="442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29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98-0352587</w:t>
            </w:r>
          </w:p>
        </w:tc>
      </w:tr>
      <w:tr>
        <w:trPr>
          <w:trHeight w:val="148"/>
        </w:trPr>
        <w:tc>
          <w:tcPr>
            <w:tcW w:w="442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80" w:type="dxa"/>
            <w:vAlign w:val="bottom"/>
          </w:tcPr>
          <w:p>
            <w:pPr>
              <w:jc w:val="center"/>
              <w:ind w:left="17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42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80" w:type="dxa"/>
            <w:vAlign w:val="bottom"/>
          </w:tcPr>
          <w:p>
            <w:pPr>
              <w:jc w:val="center"/>
              <w:ind w:left="17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42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w w:val="99"/>
              </w:rPr>
              <w:t>c/o Willis Group Limited</w:t>
            </w:r>
          </w:p>
        </w:tc>
        <w:tc>
          <w:tcPr>
            <w:tcW w:w="2980" w:type="dxa"/>
            <w:vAlign w:val="bottom"/>
          </w:tcPr>
          <w:p>
            <w:pPr>
              <w:spacing w:after="0"/>
              <w:rPr>
                <w:sz w:val="24"/>
                <w:szCs w:val="24"/>
                <w:color w:val="auto"/>
              </w:rPr>
            </w:pPr>
          </w:p>
        </w:tc>
      </w:tr>
      <w:tr>
        <w:trPr>
          <w:trHeight w:val="227"/>
        </w:trPr>
        <w:tc>
          <w:tcPr>
            <w:tcW w:w="442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w w:val="99"/>
              </w:rPr>
              <w:t>51 Lime Street, London, England</w:t>
            </w:r>
          </w:p>
        </w:tc>
        <w:tc>
          <w:tcPr>
            <w:tcW w:w="2980" w:type="dxa"/>
            <w:vAlign w:val="bottom"/>
          </w:tcPr>
          <w:p>
            <w:pPr>
              <w:jc w:val="center"/>
              <w:ind w:left="1781"/>
              <w:spacing w:after="0"/>
              <w:rPr>
                <w:sz w:val="20"/>
                <w:szCs w:val="20"/>
                <w:color w:val="auto"/>
              </w:rPr>
            </w:pPr>
            <w:r>
              <w:rPr>
                <w:rFonts w:ascii="Times New Roman" w:cs="Times New Roman" w:eastAsia="Times New Roman" w:hAnsi="Times New Roman"/>
                <w:sz w:val="18"/>
                <w:szCs w:val="18"/>
                <w:b w:val="1"/>
                <w:bCs w:val="1"/>
                <w:color w:val="auto"/>
              </w:rPr>
              <w:t>EC3M 7DQ</w:t>
            </w:r>
          </w:p>
        </w:tc>
      </w:tr>
      <w:tr>
        <w:trPr>
          <w:trHeight w:val="190"/>
        </w:trPr>
        <w:tc>
          <w:tcPr>
            <w:tcW w:w="442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80" w:type="dxa"/>
            <w:vAlign w:val="bottom"/>
          </w:tcPr>
          <w:p>
            <w:pPr>
              <w:jc w:val="center"/>
              <w:ind w:left="17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 2012 EQUITY INCENTIVE PLAN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Matthew S. Furman,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Brookfield Place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 Liberty Street, 6th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10281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915-8249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DEREGISTRATION OF CERTAIN SHARES</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This Post-Effective Amendment No. 1 (this “Post-Effective Amendment”) relates to the Registration Statement on Form S-8 (the “Registration Statement”) previously filed by Willis Towers Watson Public Limited Company (the “Registrant”) with the Securities and Exchange Commission (the “SEC”) on January 28, 2026 (Registration No. 333-293024) relating to the Registrant’s Willis Towers Watson 2012 Equity Incentive Plan (the “2012 Plan”). In accordance with the undertakings made by the Registrant to remove from registration by means of a post-effective amendment any of the Registrant’s securities that remain unsold at the termination of the offering, this Post-Effective Amendment is being filed solely to remove from registration 201,833 of the Registrant’s ordinary shares, $0.000304635 nominal value per share (“Ordinary Shares”) previously registered for issuance under the 2012 Plan pursuant to the Registration Statement as a result of the Registrant’s reduction in the number of Ordinary Shares available for issuance under the 2012 Plan. The Registrant had previously registered 445,656 Ordinary Shares under the Registration Statement in connection with the assumption of the available share reserve under the stock incentive plans of Newfront Insurance Holdings, Inc. (“Newfront”) as part of the Registrant’s acquisition of Newfront (the “Assumed Shares”). As a result, the Registration Statement now covers a maximum of 243,823 Assumed Shares.</w:t>
      </w:r>
    </w:p>
    <w:p>
      <w:pPr>
        <w:spacing w:after="0" w:line="19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Except to the extent specified herein, the Registration Statement as previously filed is not amended or otherwise affected by this Post-Effective Amendment. No other securities registered for offering or sale pursuant to the Registration Statement are being deregistered hereby, and this Post-Effective Amendment shall not affect any awards or rights granted or to be granted under the 2012 Plan.</w:t>
      </w:r>
    </w:p>
    <w:p>
      <w:pPr>
        <w:sectPr>
          <w:pgSz w:w="11900" w:h="16838" w:orient="portrait"/>
          <w:cols w:equalWidth="0" w:num="1">
            <w:col w:w="10820"/>
          </w:cols>
          <w:pgMar w:left="440" w:top="270" w:right="6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New York, State of New York, on May 22,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WILLIS TOWERS WATSON PUBLIC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Matthew S. Furman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Matthew S. Furman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Post-Effective Amendment No. 1 to the Registration Statement has been signed by the following persons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00" w:type="dxa"/>
            <w:vAlign w:val="bottom"/>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1520" w:type="dxa"/>
            <w:vAlign w:val="bottom"/>
          </w:tcPr>
          <w:p>
            <w:pPr>
              <w:jc w:val="center"/>
              <w:ind w:left="89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4"/>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t>
            </w:r>
          </w:p>
        </w:tc>
        <w:tc>
          <w:tcPr>
            <w:tcW w:w="48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52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w w:val="98"/>
              </w:rPr>
              <w:t>5/22/26</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Carl A. Hess</w:t>
            </w:r>
          </w:p>
        </w:tc>
        <w:tc>
          <w:tcPr>
            <w:tcW w:w="48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5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t>
            </w:r>
          </w:p>
        </w:tc>
        <w:tc>
          <w:tcPr>
            <w:tcW w:w="48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52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w w:val="98"/>
              </w:rPr>
              <w:t>5/22/26</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Krasner</w:t>
            </w:r>
          </w:p>
        </w:tc>
        <w:tc>
          <w:tcPr>
            <w:tcW w:w="48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5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t>
            </w:r>
          </w:p>
        </w:tc>
        <w:tc>
          <w:tcPr>
            <w:tcW w:w="48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Controller</w:t>
            </w:r>
          </w:p>
        </w:tc>
        <w:tc>
          <w:tcPr>
            <w:tcW w:w="152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w w:val="98"/>
              </w:rPr>
              <w:t>5/22/26</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Joseph Kurpis</w:t>
            </w:r>
          </w:p>
        </w:tc>
        <w:tc>
          <w:tcPr>
            <w:tcW w:w="48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5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t>
            </w:r>
          </w:p>
        </w:tc>
        <w:tc>
          <w:tcPr>
            <w:tcW w:w="48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w w:val="98"/>
              </w:rPr>
              <w:t>5/22/26</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Dame Inga Beale</w:t>
            </w:r>
          </w:p>
        </w:tc>
        <w:tc>
          <w:tcPr>
            <w:tcW w:w="48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t>
            </w:r>
          </w:p>
        </w:tc>
        <w:tc>
          <w:tcPr>
            <w:tcW w:w="48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w w:val="98"/>
              </w:rPr>
              <w:t>5/22/26</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Fumbi Chima</w:t>
            </w:r>
          </w:p>
        </w:tc>
        <w:tc>
          <w:tcPr>
            <w:tcW w:w="48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t>
            </w:r>
          </w:p>
        </w:tc>
        <w:tc>
          <w:tcPr>
            <w:tcW w:w="48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w w:val="98"/>
              </w:rPr>
              <w:t>5/22/26</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Stephen Chipman</w:t>
            </w:r>
          </w:p>
        </w:tc>
        <w:tc>
          <w:tcPr>
            <w:tcW w:w="48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t>
            </w:r>
          </w:p>
        </w:tc>
        <w:tc>
          <w:tcPr>
            <w:tcW w:w="48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w w:val="98"/>
              </w:rPr>
              <w:t>5/22/26</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P. Hammond</w:t>
            </w:r>
          </w:p>
        </w:tc>
        <w:tc>
          <w:tcPr>
            <w:tcW w:w="48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t>
            </w:r>
          </w:p>
        </w:tc>
        <w:tc>
          <w:tcPr>
            <w:tcW w:w="48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w w:val="98"/>
              </w:rPr>
              <w:t>5/22/26</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Jacqueline Hunt</w:t>
            </w:r>
          </w:p>
        </w:tc>
        <w:tc>
          <w:tcPr>
            <w:tcW w:w="48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t>
            </w:r>
          </w:p>
        </w:tc>
        <w:tc>
          <w:tcPr>
            <w:tcW w:w="48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w w:val="98"/>
              </w:rPr>
              <w:t>5/22/26</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Paul Reilly</w:t>
            </w:r>
          </w:p>
        </w:tc>
        <w:tc>
          <w:tcPr>
            <w:tcW w:w="48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t>
            </w:r>
          </w:p>
        </w:tc>
        <w:tc>
          <w:tcPr>
            <w:tcW w:w="48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w w:val="98"/>
              </w:rPr>
              <w:t>5/22/26</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Michelle R. Swanback</w:t>
            </w:r>
          </w:p>
        </w:tc>
        <w:tc>
          <w:tcPr>
            <w:tcW w:w="48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t>
            </w:r>
          </w:p>
        </w:tc>
        <w:tc>
          <w:tcPr>
            <w:tcW w:w="480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Director</w:t>
            </w:r>
          </w:p>
        </w:tc>
        <w:tc>
          <w:tcPr>
            <w:tcW w:w="1520" w:type="dxa"/>
            <w:vAlign w:val="bottom"/>
          </w:tcPr>
          <w:p>
            <w:pPr>
              <w:jc w:val="center"/>
              <w:ind w:left="892"/>
              <w:spacing w:after="0"/>
              <w:rPr>
                <w:sz w:val="20"/>
                <w:szCs w:val="20"/>
                <w:color w:val="auto"/>
              </w:rPr>
            </w:pPr>
            <w:r>
              <w:rPr>
                <w:rFonts w:ascii="Times New Roman" w:cs="Times New Roman" w:eastAsia="Times New Roman" w:hAnsi="Times New Roman"/>
                <w:sz w:val="18"/>
                <w:szCs w:val="18"/>
                <w:color w:val="auto"/>
                <w:w w:val="98"/>
              </w:rPr>
              <w:t>5/22/26</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Fredric Tomczyk</w:t>
            </w:r>
          </w:p>
        </w:tc>
        <w:tc>
          <w:tcPr>
            <w:tcW w:w="4800" w:type="dxa"/>
            <w:vAlign w:val="bottom"/>
          </w:tcPr>
          <w:p>
            <w:pPr>
              <w:spacing w:after="0"/>
              <w:rPr>
                <w:sz w:val="19"/>
                <w:szCs w:val="19"/>
                <w:color w:val="auto"/>
              </w:rPr>
            </w:pPr>
          </w:p>
        </w:tc>
        <w:tc>
          <w:tcPr>
            <w:tcW w:w="152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Matthew S. Furman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17145</wp:posOffset>
            </wp:positionV>
            <wp:extent cx="2168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Matthew S. Furman</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Attorney-in-Fact</w:t>
      </w:r>
    </w:p>
    <w:sectPr>
      <w:pgSz w:w="11900" w:h="16838" w:orient="portrait"/>
      <w:cols w:equalWidth="0" w:num="1">
        <w:col w:w="10780"/>
      </w:cols>
      <w:pgMar w:left="440" w:top="27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2026-05-22T15:05:04Z</dcterms:created>
  <dcterms:modified xsi:type="dcterms:W3CDTF">2026-05-22T15:05:04Z</dcterms:modified>
</cp:coreProperties>
</file>